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229703" w14:textId="3F8D2A7B" w:rsidR="00314127" w:rsidRPr="00314127" w:rsidRDefault="0023745D" w:rsidP="00314127">
      <w:pPr>
        <w:tabs>
          <w:tab w:val="left" w:pos="6309"/>
        </w:tabs>
        <w:sectPr w:rsidR="00314127" w:rsidRPr="00314127" w:rsidSect="00CB46FA">
          <w:footerReference w:type="even" r:id="rId9"/>
          <w:footerReference w:type="default" r:id="rId10"/>
          <w:endnotePr>
            <w:numFmt w:val="decimal"/>
          </w:endnotePr>
          <w:pgSz w:w="12240" w:h="15840"/>
          <w:pgMar w:top="360" w:right="360" w:bottom="806" w:left="360" w:header="720" w:footer="720" w:gutter="0"/>
          <w:pgNumType w:start="1"/>
          <w:cols w:space="720"/>
        </w:sectPr>
      </w:pPr>
      <w:r>
        <w:rPr>
          <w:noProof/>
        </w:rPr>
        <mc:AlternateContent>
          <mc:Choice Requires="wps">
            <w:drawing>
              <wp:anchor distT="0" distB="0" distL="114300" distR="114300" simplePos="0" relativeHeight="251659264" behindDoc="0" locked="0" layoutInCell="1" allowOverlap="1" wp14:anchorId="25A38B6C" wp14:editId="5AA65C62">
                <wp:simplePos x="0" y="0"/>
                <wp:positionH relativeFrom="column">
                  <wp:posOffset>228600</wp:posOffset>
                </wp:positionH>
                <wp:positionV relativeFrom="paragraph">
                  <wp:posOffset>200465</wp:posOffset>
                </wp:positionV>
                <wp:extent cx="3257550" cy="281060"/>
                <wp:effectExtent l="0" t="0" r="6350" b="0"/>
                <wp:wrapNone/>
                <wp:docPr id="36" name="Text Box 36"/>
                <wp:cNvGraphicFramePr/>
                <a:graphic xmlns:a="http://schemas.openxmlformats.org/drawingml/2006/main">
                  <a:graphicData uri="http://schemas.microsoft.com/office/word/2010/wordprocessingShape">
                    <wps:wsp>
                      <wps:cNvSpPr txBox="1"/>
                      <wps:spPr>
                        <a:xfrm>
                          <a:off x="0" y="0"/>
                          <a:ext cx="3257550" cy="281060"/>
                        </a:xfrm>
                        <a:prstGeom prst="rect">
                          <a:avLst/>
                        </a:prstGeom>
                        <a:solidFill>
                          <a:schemeClr val="lt1"/>
                        </a:solidFill>
                        <a:ln w="6350">
                          <a:noFill/>
                        </a:ln>
                      </wps:spPr>
                      <wps:txbx>
                        <w:txbxContent>
                          <w:p w14:paraId="1ADE6887" w14:textId="121AC9C2" w:rsidR="0023745D" w:rsidRPr="0023745D" w:rsidRDefault="0023745D">
                            <w:pPr>
                              <w:rPr>
                                <w:b/>
                                <w:bCs/>
                                <w:smallCaps/>
                              </w:rPr>
                            </w:pPr>
                            <w:r w:rsidRPr="0023745D">
                              <w:rPr>
                                <w:b/>
                                <w:bCs/>
                                <w:smallCaps/>
                              </w:rPr>
                              <w:t>Preliminary Report – Subject to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A38B6C" id="_x0000_t202" coordsize="21600,21600" o:spt="202" path="m,l,21600r21600,l21600,xe">
                <v:stroke joinstyle="miter"/>
                <v:path gradientshapeok="t" o:connecttype="rect"/>
              </v:shapetype>
              <v:shape id="Text Box 36" o:spid="_x0000_s1026" type="#_x0000_t202" style="position:absolute;margin-left:18pt;margin-top:15.8pt;width:256.5pt;height:22.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" fillcolor="white [3201]" stroked="f" strokeweight=".5pt">
                <v:textbox>
                  <w:txbxContent>
                    <w:p w14:paraId="1ADE6887" w14:textId="121AC9C2" w:rsidR="0023745D" w:rsidRPr="0023745D" w:rsidRDefault="0023745D">
                      <w:pPr>
                        <w:rPr>
                          <w:b/>
                          <w:bCs/>
                          <w:smallCaps/>
                        </w:rPr>
                      </w:pPr>
                      <w:r w:rsidRPr="0023745D">
                        <w:rPr>
                          <w:b/>
                          <w:bCs/>
                          <w:smallCaps/>
                        </w:rPr>
                        <w:t>Preliminary Report – Subject to Change</w:t>
                      </w:r>
                    </w:p>
                  </w:txbxContent>
                </v:textbox>
              </v:shape>
            </w:pict>
          </mc:Fallback>
        </mc:AlternateContent>
      </w:r>
      <w:r w:rsidR="00314127">
        <w:tab/>
      </w:r>
      <w:r w:rsidR="00CB46FA">
        <w:rPr>
          <w:noProof/>
        </w:rPr>
        <w:drawing>
          <wp:anchor distT="0" distB="0" distL="114300" distR="114300" simplePos="0" relativeHeight="251658240" behindDoc="0" locked="0" layoutInCell="1" allowOverlap="1" wp14:anchorId="5FF0D2EA" wp14:editId="607F64E1">
            <wp:simplePos x="0" y="0"/>
            <wp:positionH relativeFrom="column">
              <wp:posOffset>3175</wp:posOffset>
            </wp:positionH>
            <wp:positionV relativeFrom="paragraph">
              <wp:posOffset>0</wp:posOffset>
            </wp:positionV>
            <wp:extent cx="7197725" cy="9317990"/>
            <wp:effectExtent l="0" t="0" r="3175" b="3810"/>
            <wp:wrapTopAndBottom/>
            <wp:docPr id="37" name="Picture 37" descr="A picture containing text, brick,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brick, red&#10;&#10;Description automatically generated"/>
                    <pic:cNvPicPr/>
                  </pic:nvPicPr>
                  <pic:blipFill>
                    <a:blip r:embed="rId11"/>
                    <a:stretch>
                      <a:fillRect/>
                    </a:stretch>
                  </pic:blipFill>
                  <pic:spPr>
                    <a:xfrm>
                      <a:off x="0" y="0"/>
                      <a:ext cx="7197725" cy="9317990"/>
                    </a:xfrm>
                    <a:prstGeom prst="rect">
                      <a:avLst/>
                    </a:prstGeom>
                  </pic:spPr>
                </pic:pic>
              </a:graphicData>
            </a:graphic>
            <wp14:sizeRelH relativeFrom="page">
              <wp14:pctWidth>0</wp14:pctWidth>
            </wp14:sizeRelH>
            <wp14:sizeRelV relativeFrom="page">
              <wp14:pctHeight>0</wp14:pctHeight>
            </wp14:sizeRelV>
          </wp:anchor>
        </w:drawing>
      </w:r>
    </w:p>
    <w:p w14:paraId="4AA0A5CB" w14:textId="6A233F8D" w:rsidR="003720F4" w:rsidRPr="00827A91" w:rsidRDefault="000E2E79">
      <w:pPr>
        <w:pStyle w:val="Heading1"/>
        <w:jc w:val="center"/>
        <w:rPr>
          <w:rFonts w:ascii="Oswald Regular" w:hAnsi="Oswald Regular"/>
          <w:b w:val="0"/>
          <w:color w:val="91221C"/>
          <w:sz w:val="64"/>
          <w:szCs w:val="64"/>
        </w:rPr>
      </w:pPr>
      <w:bookmarkStart w:id="0" w:name="_Toc62730355"/>
      <w:r>
        <w:rPr>
          <w:noProof/>
          <w:sz w:val="10"/>
          <w:szCs w:val="10"/>
        </w:rPr>
        <w:lastRenderedPageBreak/>
        <w:pict w14:anchorId="415EE485">
          <v:rect id="_x0000_i1058" alt="" style="width:468pt;height:.05pt;mso-width-percent:0;mso-height-percent:0;mso-width-percent:0;mso-height-percent:0" o:hralign="center" o:hrstd="t" o:hr="t" fillcolor="#a0a0a0" stroked="f"/>
        </w:pict>
      </w:r>
      <w:r w:rsidR="00D2451D" w:rsidRPr="00E475AC">
        <w:rPr>
          <w:rFonts w:ascii="Oswald Regular" w:hAnsi="Oswald Regular"/>
          <w:bCs/>
          <w:color w:val="91221C"/>
          <w:sz w:val="64"/>
          <w:szCs w:val="64"/>
        </w:rPr>
        <w:t>ACKNOWLEDGMENTS</w:t>
      </w:r>
      <w:bookmarkEnd w:id="0"/>
      <w:r>
        <w:rPr>
          <w:noProof/>
          <w:sz w:val="10"/>
          <w:szCs w:val="10"/>
        </w:rPr>
        <w:pict w14:anchorId="0A4BC678">
          <v:rect id="_x0000_i1057" alt="" style="width:468pt;height:.05pt;mso-width-percent:0;mso-height-percent:0;mso-width-percent:0;mso-height-percent:0" o:hralign="center" o:hrstd="t" o:hr="t" fillcolor="#a0a0a0" stroked="f"/>
        </w:pict>
      </w:r>
    </w:p>
    <w:p w14:paraId="10053BAF" w14:textId="77777777" w:rsidR="003720F4" w:rsidRDefault="003720F4" w:rsidP="00827A91">
      <w:pPr>
        <w:spacing w:line="360" w:lineRule="auto"/>
        <w:rPr>
          <w:b/>
          <w:u w:val="single"/>
        </w:rPr>
      </w:pPr>
    </w:p>
    <w:p w14:paraId="33CF615F" w14:textId="6DE3806E" w:rsidR="003720F4" w:rsidRPr="00827A91" w:rsidRDefault="00D2451D" w:rsidP="00827A91">
      <w:pPr>
        <w:spacing w:line="360" w:lineRule="auto"/>
        <w:jc w:val="both"/>
        <w:rPr>
          <w:rFonts w:ascii="Avenir Book" w:hAnsi="Avenir Book"/>
        </w:rPr>
      </w:pPr>
      <w:r w:rsidRPr="00827A91">
        <w:rPr>
          <w:rFonts w:ascii="Avenir Book" w:hAnsi="Avenir Book"/>
        </w:rPr>
        <w:t>The princip</w:t>
      </w:r>
      <w:r w:rsidR="00EA3D8B">
        <w:rPr>
          <w:rFonts w:ascii="Avenir Book" w:hAnsi="Avenir Book"/>
        </w:rPr>
        <w:t>al</w:t>
      </w:r>
      <w:r w:rsidRPr="00827A91">
        <w:rPr>
          <w:rFonts w:ascii="Avenir Book" w:hAnsi="Avenir Book"/>
        </w:rPr>
        <w:t xml:space="preserve"> authors of this report are Colton Brown, Celia Givens, </w:t>
      </w:r>
      <w:r w:rsidR="00EA3D8B" w:rsidRPr="00827A91">
        <w:rPr>
          <w:rFonts w:ascii="Avenir Book" w:hAnsi="Avenir Book"/>
        </w:rPr>
        <w:t xml:space="preserve">Terence Jones </w:t>
      </w:r>
      <w:r w:rsidRPr="00827A91">
        <w:rPr>
          <w:rFonts w:ascii="Avenir Book" w:hAnsi="Avenir Book"/>
        </w:rPr>
        <w:t xml:space="preserve">and </w:t>
      </w:r>
      <w:r w:rsidR="00EA3D8B" w:rsidRPr="00827A91">
        <w:rPr>
          <w:rFonts w:ascii="Avenir Book" w:hAnsi="Avenir Book"/>
        </w:rPr>
        <w:t>Jacqueline Winton</w:t>
      </w:r>
      <w:r w:rsidRPr="00827A91">
        <w:rPr>
          <w:rFonts w:ascii="Avenir Book" w:hAnsi="Avenir Book"/>
        </w:rPr>
        <w:t xml:space="preserve">, Systemic Justice Project Clinic at Temple University </w:t>
      </w:r>
      <w:r w:rsidR="00921FFA">
        <w:rPr>
          <w:rFonts w:ascii="Avenir Book" w:hAnsi="Avenir Book"/>
        </w:rPr>
        <w:t xml:space="preserve">James E. </w:t>
      </w:r>
      <w:r w:rsidRPr="00827A91">
        <w:rPr>
          <w:rFonts w:ascii="Avenir Book" w:hAnsi="Avenir Book"/>
        </w:rPr>
        <w:t xml:space="preserve">Beasley School of Law’s Sheller Center for Social Justice, under the supervision of Professor Shanda Sibley. Professors Jules Epstein and Lauren </w:t>
      </w:r>
      <w:proofErr w:type="spellStart"/>
      <w:r w:rsidRPr="00827A91">
        <w:rPr>
          <w:rFonts w:ascii="Avenir Book" w:hAnsi="Avenir Book"/>
        </w:rPr>
        <w:t>Ouziel</w:t>
      </w:r>
      <w:proofErr w:type="spellEnd"/>
      <w:r w:rsidRPr="00827A91">
        <w:rPr>
          <w:rFonts w:ascii="Avenir Book" w:hAnsi="Avenir Book"/>
        </w:rPr>
        <w:t xml:space="preserve"> provided thorough review and feedback. </w:t>
      </w:r>
      <w:r w:rsidR="00B96FBE">
        <w:rPr>
          <w:rFonts w:ascii="Avenir Book" w:hAnsi="Avenir Book"/>
        </w:rPr>
        <w:t xml:space="preserve">Erica Maier and </w:t>
      </w:r>
      <w:proofErr w:type="spellStart"/>
      <w:r w:rsidRPr="00827A91">
        <w:rPr>
          <w:rFonts w:ascii="Avenir Book" w:hAnsi="Avenir Book"/>
        </w:rPr>
        <w:t>Roshonda</w:t>
      </w:r>
      <w:proofErr w:type="spellEnd"/>
      <w:r w:rsidRPr="00827A91">
        <w:rPr>
          <w:rFonts w:ascii="Avenir Book" w:hAnsi="Avenir Book"/>
        </w:rPr>
        <w:t xml:space="preserve"> Scipio provided instrumental additional support in the production of this report.</w:t>
      </w:r>
    </w:p>
    <w:p w14:paraId="50FF87AB" w14:textId="76048A34" w:rsidR="000F6CE5" w:rsidRDefault="000F6CE5">
      <w:pPr>
        <w:jc w:val="both"/>
      </w:pPr>
    </w:p>
    <w:p w14:paraId="2736D9FD" w14:textId="7E55845D" w:rsidR="000F6CE5" w:rsidRDefault="000F6CE5">
      <w:pPr>
        <w:jc w:val="both"/>
      </w:pPr>
    </w:p>
    <w:p w14:paraId="31C3F29A" w14:textId="77777777" w:rsidR="000F6CE5" w:rsidRDefault="000F6CE5">
      <w:pPr>
        <w:jc w:val="both"/>
      </w:pPr>
    </w:p>
    <w:p w14:paraId="35D74737" w14:textId="77777777" w:rsidR="003720F4" w:rsidRDefault="003720F4">
      <w:pPr>
        <w:rPr>
          <w:b/>
          <w:u w:val="single"/>
        </w:rPr>
      </w:pPr>
    </w:p>
    <w:p w14:paraId="1ED3CA52" w14:textId="77777777" w:rsidR="00D429F1" w:rsidRDefault="00D429F1">
      <w:pPr>
        <w:rPr>
          <w:b/>
          <w:u w:val="single"/>
        </w:rPr>
      </w:pPr>
    </w:p>
    <w:p w14:paraId="3E056E40" w14:textId="77777777" w:rsidR="00D429F1" w:rsidRDefault="00D429F1">
      <w:pPr>
        <w:rPr>
          <w:b/>
          <w:u w:val="single"/>
        </w:rPr>
        <w:sectPr w:rsidR="00D429F1">
          <w:headerReference w:type="default" r:id="rId12"/>
          <w:footerReference w:type="default" r:id="rId13"/>
          <w:endnotePr>
            <w:numFmt w:val="decimal"/>
          </w:endnotePr>
          <w:pgSz w:w="12240" w:h="15840"/>
          <w:pgMar w:top="1440" w:right="1440" w:bottom="1440" w:left="1440" w:header="720" w:footer="720" w:gutter="0"/>
          <w:pgNumType w:start="1"/>
          <w:cols w:space="720"/>
        </w:sectPr>
      </w:pPr>
    </w:p>
    <w:p w14:paraId="71636B82" w14:textId="70DEBD0E" w:rsidR="003720F4" w:rsidRPr="00827A91" w:rsidRDefault="000E2E79" w:rsidP="00827A91">
      <w:pPr>
        <w:jc w:val="center"/>
      </w:pPr>
      <w:r>
        <w:rPr>
          <w:noProof/>
          <w:sz w:val="10"/>
          <w:szCs w:val="10"/>
        </w:rPr>
        <w:lastRenderedPageBreak/>
        <w:pict w14:anchorId="1941168C">
          <v:rect id="_x0000_i1056" alt="" style="width:468pt;height:.05pt;mso-width-percent:0;mso-height-percent:0;mso-width-percent:0;mso-height-percent:0" o:hralign="center" o:hrstd="t" o:hr="t" fillcolor="#a0a0a0" stroked="f"/>
        </w:pict>
      </w:r>
      <w:r w:rsidR="00D2451D" w:rsidRPr="00E475AC">
        <w:rPr>
          <w:rFonts w:ascii="Oswald Regular" w:hAnsi="Oswald Regular"/>
          <w:b/>
          <w:color w:val="91221C"/>
          <w:sz w:val="64"/>
          <w:szCs w:val="64"/>
        </w:rPr>
        <w:t>METHODOLOGY</w:t>
      </w:r>
      <w:r>
        <w:rPr>
          <w:noProof/>
          <w:sz w:val="10"/>
          <w:szCs w:val="10"/>
        </w:rPr>
        <w:pict w14:anchorId="17F3B97F">
          <v:rect id="_x0000_i1055" alt="" style="width:468pt;height:.05pt;mso-width-percent:0;mso-height-percent:0;mso-width-percent:0;mso-height-percent:0" o:hralign="center" o:hrstd="t" o:hr="t" fillcolor="#a0a0a0" stroked="f"/>
        </w:pict>
      </w:r>
    </w:p>
    <w:p w14:paraId="0E204767" w14:textId="77777777" w:rsidR="003720F4" w:rsidRDefault="003720F4"/>
    <w:p w14:paraId="075FE08F" w14:textId="54C9A6CA" w:rsidR="003720F4" w:rsidRPr="00827A91" w:rsidRDefault="00D2451D" w:rsidP="00827A91">
      <w:pPr>
        <w:spacing w:line="360" w:lineRule="auto"/>
        <w:ind w:firstLine="720"/>
        <w:jc w:val="both"/>
        <w:rPr>
          <w:rFonts w:ascii="Avenir Book" w:hAnsi="Avenir Book"/>
        </w:rPr>
      </w:pPr>
      <w:r w:rsidRPr="00827A91">
        <w:rPr>
          <w:rFonts w:ascii="Avenir Book" w:hAnsi="Avenir Book"/>
        </w:rPr>
        <w:t>The Board of Commissioners of Montgomery County, Pennsylvania, contracted with Temple University James E. Beasley School of Law to provide specific guidance and recommendations to implement best practices for the governance and operation of the county’s Public Defender Office. Work on this report was undertaken by the Systemic Justice Project at the Law School’s Sheller Center for Social Justice. To produce this report, the Project examined the external legal regime and organizational structures influencing the Public Defender Office, as well as the office’s internal structure and culture.</w:t>
      </w:r>
    </w:p>
    <w:p w14:paraId="043692E3" w14:textId="28777F5C" w:rsidR="003720F4" w:rsidRPr="00827A91" w:rsidRDefault="00D2451D" w:rsidP="00827A91">
      <w:pPr>
        <w:spacing w:line="360" w:lineRule="auto"/>
        <w:ind w:firstLine="720"/>
        <w:jc w:val="both"/>
        <w:rPr>
          <w:rFonts w:ascii="Avenir Book" w:hAnsi="Avenir Book"/>
        </w:rPr>
      </w:pPr>
      <w:r w:rsidRPr="00827A91">
        <w:rPr>
          <w:rFonts w:ascii="Avenir Book" w:hAnsi="Avenir Book"/>
        </w:rPr>
        <w:t>In order to reach the findings and recommendations outlined in this report, the Project employed a mixed-methods approach. This included conducting a legal analysis of relevant statutes and rules, and any limits they impose on potential reorganization; reviewing the literature (both academic and practitioner-oriented) on best practices for public defender officers; reviewing the office’s annual budget, how the budget is determined, and whether it is adequate; engaging in a comparative analysis of organizational structures of other defender offices, both within Pennsylvania and across other states, including comparative analysis of other defender office restructurings; and conducting structured interviews of current employees of the office.</w:t>
      </w:r>
    </w:p>
    <w:p w14:paraId="3CADC623" w14:textId="77777777" w:rsidR="003720F4" w:rsidRDefault="003720F4">
      <w:pPr>
        <w:spacing w:line="480" w:lineRule="auto"/>
        <w:jc w:val="both"/>
      </w:pPr>
    </w:p>
    <w:p w14:paraId="719704FA" w14:textId="77777777" w:rsidR="003720F4" w:rsidRDefault="003720F4">
      <w:pPr>
        <w:spacing w:line="480" w:lineRule="auto"/>
        <w:jc w:val="both"/>
        <w:sectPr w:rsidR="003720F4">
          <w:headerReference w:type="default" r:id="rId14"/>
          <w:footerReference w:type="default" r:id="rId15"/>
          <w:endnotePr>
            <w:numFmt w:val="decimal"/>
          </w:endnotePr>
          <w:pgSz w:w="12240" w:h="15840"/>
          <w:pgMar w:top="1440" w:right="1440" w:bottom="1440" w:left="1440" w:header="720" w:footer="720" w:gutter="0"/>
          <w:pgNumType w:start="1"/>
          <w:cols w:space="720"/>
        </w:sectPr>
      </w:pPr>
    </w:p>
    <w:p w14:paraId="236AD8BD" w14:textId="66393F32" w:rsidR="003720F4" w:rsidRDefault="000E2E79" w:rsidP="00827A91">
      <w:pPr>
        <w:pStyle w:val="Heading"/>
      </w:pPr>
      <w:bookmarkStart w:id="1" w:name="_Toc62730356"/>
      <w:r>
        <w:rPr>
          <w:noProof/>
          <w:sz w:val="10"/>
          <w:szCs w:val="10"/>
        </w:rPr>
        <w:lastRenderedPageBreak/>
        <w:pict w14:anchorId="5C510A89">
          <v:rect id="_x0000_i1054" alt="" style="width:468pt;height:.05pt;mso-width-percent:0;mso-height-percent:0;mso-width-percent:0;mso-height-percent:0" o:hralign="center" o:hrstd="t" o:hr="t" fillcolor="#a0a0a0" stroked="f"/>
        </w:pict>
      </w:r>
      <w:r w:rsidR="00D2451D" w:rsidRPr="00E475AC">
        <w:t>TABLE OF CONTENTS</w:t>
      </w:r>
      <w:bookmarkEnd w:id="1"/>
      <w:r>
        <w:rPr>
          <w:noProof/>
          <w:sz w:val="10"/>
          <w:szCs w:val="10"/>
        </w:rPr>
        <w:pict w14:anchorId="5D90EED0">
          <v:rect id="_x0000_i1053" alt="" style="width:468pt;height:.05pt;mso-width-percent:0;mso-height-percent:0;mso-width-percent:0;mso-height-percent:0" o:hralign="center" o:hrstd="t" o:hr="t" fillcolor="#a0a0a0" stroked="f"/>
        </w:pict>
      </w:r>
    </w:p>
    <w:p w14:paraId="493C596A" w14:textId="77777777" w:rsidR="005F36CA" w:rsidRPr="005F36CA" w:rsidRDefault="005F36CA" w:rsidP="005F36CA">
      <w:pPr>
        <w:rPr>
          <w:rFonts w:eastAsia="Calibri"/>
        </w:rPr>
      </w:pPr>
    </w:p>
    <w:sdt>
      <w:sdtPr>
        <w:rPr>
          <w:rFonts w:ascii="Times New Roman" w:hAnsi="Times New Roman"/>
          <w:b w:val="0"/>
          <w:bCs w:val="0"/>
          <w:noProof w:val="0"/>
          <w:color w:val="auto"/>
          <w:sz w:val="24"/>
          <w:szCs w:val="24"/>
        </w:rPr>
        <w:id w:val="-1751192527"/>
        <w:docPartObj>
          <w:docPartGallery w:val="Table of Contents"/>
          <w:docPartUnique/>
        </w:docPartObj>
      </w:sdtPr>
      <w:sdtEndPr/>
      <w:sdtContent>
        <w:p w14:paraId="750D89B2" w14:textId="25448469" w:rsidR="00827A91" w:rsidRPr="006439E8" w:rsidRDefault="00D2451D" w:rsidP="006439E8">
          <w:pPr>
            <w:pStyle w:val="TOC1"/>
            <w:rPr>
              <w:rFonts w:eastAsiaTheme="minorEastAsia" w:cstheme="minorBidi"/>
              <w:sz w:val="24"/>
              <w:szCs w:val="24"/>
            </w:rPr>
          </w:pPr>
          <w:r w:rsidRPr="00D067AE">
            <w:fldChar w:fldCharType="begin"/>
          </w:r>
          <w:r w:rsidRPr="00D067AE">
            <w:instrText xml:space="preserve"> TOC \h \u \z </w:instrText>
          </w:r>
          <w:r w:rsidRPr="00D067AE">
            <w:fldChar w:fldCharType="separate"/>
          </w:r>
          <w:hyperlink w:anchor="_Toc62730355" w:history="1">
            <w:r w:rsidR="00827A91" w:rsidRPr="006439E8">
              <w:rPr>
                <w:rStyle w:val="Hyperlink"/>
                <w:color w:val="91211B"/>
              </w:rPr>
              <w:t>ACKNOWLEDGMENTS</w:t>
            </w:r>
            <w:r w:rsidR="00827A91" w:rsidRPr="006439E8">
              <w:rPr>
                <w:webHidden/>
              </w:rPr>
              <w:tab/>
            </w:r>
            <w:r w:rsidR="00827A91" w:rsidRPr="006439E8">
              <w:rPr>
                <w:webHidden/>
              </w:rPr>
              <w:fldChar w:fldCharType="begin"/>
            </w:r>
            <w:r w:rsidR="00827A91" w:rsidRPr="006439E8">
              <w:rPr>
                <w:webHidden/>
              </w:rPr>
              <w:instrText xml:space="preserve"> PAGEREF _Toc62730355 \h </w:instrText>
            </w:r>
            <w:r w:rsidR="00827A91" w:rsidRPr="006439E8">
              <w:rPr>
                <w:webHidden/>
              </w:rPr>
            </w:r>
            <w:r w:rsidR="00827A91" w:rsidRPr="006439E8">
              <w:rPr>
                <w:webHidden/>
              </w:rPr>
              <w:fldChar w:fldCharType="separate"/>
            </w:r>
            <w:r w:rsidR="00301978">
              <w:rPr>
                <w:webHidden/>
              </w:rPr>
              <w:t>1</w:t>
            </w:r>
            <w:r w:rsidR="00827A91" w:rsidRPr="006439E8">
              <w:rPr>
                <w:webHidden/>
              </w:rPr>
              <w:fldChar w:fldCharType="end"/>
            </w:r>
          </w:hyperlink>
        </w:p>
        <w:p w14:paraId="77D12FCF" w14:textId="447D93E4" w:rsidR="00827A91" w:rsidRPr="006439E8" w:rsidRDefault="000E2E79" w:rsidP="006439E8">
          <w:pPr>
            <w:pStyle w:val="TOC1"/>
            <w:rPr>
              <w:rFonts w:eastAsiaTheme="minorEastAsia" w:cstheme="minorBidi"/>
              <w:sz w:val="24"/>
              <w:szCs w:val="24"/>
            </w:rPr>
          </w:pPr>
          <w:hyperlink w:anchor="_Toc62730357" w:history="1">
            <w:r w:rsidR="00827A91" w:rsidRPr="006439E8">
              <w:rPr>
                <w:rStyle w:val="Hyperlink"/>
                <w:color w:val="91211B"/>
              </w:rPr>
              <w:t>INTRODUCTION</w:t>
            </w:r>
            <w:r w:rsidR="00827A91" w:rsidRPr="006439E8">
              <w:rPr>
                <w:webHidden/>
              </w:rPr>
              <w:tab/>
            </w:r>
            <w:r w:rsidR="00827A91" w:rsidRPr="006439E8">
              <w:rPr>
                <w:webHidden/>
              </w:rPr>
              <w:fldChar w:fldCharType="begin"/>
            </w:r>
            <w:r w:rsidR="00827A91" w:rsidRPr="006439E8">
              <w:rPr>
                <w:webHidden/>
              </w:rPr>
              <w:instrText xml:space="preserve"> PAGEREF _Toc62730357 \h </w:instrText>
            </w:r>
            <w:r w:rsidR="00827A91" w:rsidRPr="006439E8">
              <w:rPr>
                <w:webHidden/>
              </w:rPr>
            </w:r>
            <w:r w:rsidR="00827A91" w:rsidRPr="006439E8">
              <w:rPr>
                <w:webHidden/>
              </w:rPr>
              <w:fldChar w:fldCharType="separate"/>
            </w:r>
            <w:r w:rsidR="00301978">
              <w:rPr>
                <w:webHidden/>
              </w:rPr>
              <w:t>3</w:t>
            </w:r>
            <w:r w:rsidR="00827A91" w:rsidRPr="006439E8">
              <w:rPr>
                <w:webHidden/>
              </w:rPr>
              <w:fldChar w:fldCharType="end"/>
            </w:r>
          </w:hyperlink>
        </w:p>
        <w:p w14:paraId="2F24048C" w14:textId="153A0541" w:rsidR="00827A91" w:rsidRPr="006439E8" w:rsidRDefault="000E2E79" w:rsidP="006439E8">
          <w:pPr>
            <w:pStyle w:val="TOC1"/>
            <w:rPr>
              <w:rFonts w:eastAsiaTheme="minorEastAsia" w:cstheme="minorBidi"/>
              <w:sz w:val="24"/>
              <w:szCs w:val="24"/>
            </w:rPr>
          </w:pPr>
          <w:hyperlink w:anchor="_Toc62730358" w:history="1">
            <w:r w:rsidR="00827A91" w:rsidRPr="006439E8">
              <w:rPr>
                <w:rStyle w:val="Hyperlink"/>
                <w:color w:val="91211B"/>
              </w:rPr>
              <w:t>EXECUTIVE SUMMARY</w:t>
            </w:r>
            <w:r w:rsidR="00827A91" w:rsidRPr="006439E8">
              <w:rPr>
                <w:webHidden/>
              </w:rPr>
              <w:tab/>
            </w:r>
            <w:r w:rsidR="00827A91" w:rsidRPr="006439E8">
              <w:rPr>
                <w:webHidden/>
              </w:rPr>
              <w:fldChar w:fldCharType="begin"/>
            </w:r>
            <w:r w:rsidR="00827A91" w:rsidRPr="006439E8">
              <w:rPr>
                <w:webHidden/>
              </w:rPr>
              <w:instrText xml:space="preserve"> PAGEREF _Toc62730358 \h </w:instrText>
            </w:r>
            <w:r w:rsidR="00827A91" w:rsidRPr="006439E8">
              <w:rPr>
                <w:webHidden/>
              </w:rPr>
            </w:r>
            <w:r w:rsidR="00827A91" w:rsidRPr="006439E8">
              <w:rPr>
                <w:webHidden/>
              </w:rPr>
              <w:fldChar w:fldCharType="separate"/>
            </w:r>
            <w:r w:rsidR="00301978">
              <w:rPr>
                <w:webHidden/>
              </w:rPr>
              <w:t>3</w:t>
            </w:r>
            <w:r w:rsidR="00827A91" w:rsidRPr="006439E8">
              <w:rPr>
                <w:webHidden/>
              </w:rPr>
              <w:fldChar w:fldCharType="end"/>
            </w:r>
          </w:hyperlink>
        </w:p>
        <w:p w14:paraId="13CF3B84" w14:textId="0B3F2AE7" w:rsidR="00827A91" w:rsidRPr="00D067AE" w:rsidRDefault="000E2E79" w:rsidP="006439E8">
          <w:pPr>
            <w:pStyle w:val="TOC1"/>
            <w:rPr>
              <w:rFonts w:eastAsiaTheme="minorEastAsia" w:cstheme="minorBidi"/>
              <w:sz w:val="24"/>
              <w:szCs w:val="24"/>
            </w:rPr>
          </w:pPr>
          <w:hyperlink w:anchor="_Toc62730359" w:history="1">
            <w:r w:rsidR="00827A91" w:rsidRPr="006439E8">
              <w:rPr>
                <w:rStyle w:val="Hyperlink"/>
                <w:color w:val="91211B"/>
              </w:rPr>
              <w:t>BACKGROUND</w:t>
            </w:r>
            <w:r w:rsidR="00827A91" w:rsidRPr="006439E8">
              <w:rPr>
                <w:webHidden/>
              </w:rPr>
              <w:tab/>
            </w:r>
            <w:r w:rsidR="00827A91" w:rsidRPr="006439E8">
              <w:rPr>
                <w:webHidden/>
              </w:rPr>
              <w:fldChar w:fldCharType="begin"/>
            </w:r>
            <w:r w:rsidR="00827A91" w:rsidRPr="006439E8">
              <w:rPr>
                <w:webHidden/>
              </w:rPr>
              <w:instrText xml:space="preserve"> PAGEREF _Toc62730359 \h </w:instrText>
            </w:r>
            <w:r w:rsidR="00827A91" w:rsidRPr="006439E8">
              <w:rPr>
                <w:webHidden/>
              </w:rPr>
            </w:r>
            <w:r w:rsidR="00827A91" w:rsidRPr="006439E8">
              <w:rPr>
                <w:webHidden/>
              </w:rPr>
              <w:fldChar w:fldCharType="separate"/>
            </w:r>
            <w:r w:rsidR="00301978">
              <w:rPr>
                <w:webHidden/>
              </w:rPr>
              <w:t>8</w:t>
            </w:r>
            <w:r w:rsidR="00827A91" w:rsidRPr="006439E8">
              <w:rPr>
                <w:webHidden/>
              </w:rPr>
              <w:fldChar w:fldCharType="end"/>
            </w:r>
          </w:hyperlink>
        </w:p>
        <w:p w14:paraId="102AE377" w14:textId="3C24B92B" w:rsidR="00827A91" w:rsidRPr="00D067AE" w:rsidRDefault="000E2E79">
          <w:pPr>
            <w:pStyle w:val="TOC2"/>
            <w:tabs>
              <w:tab w:val="right" w:pos="9350"/>
            </w:tabs>
            <w:rPr>
              <w:rFonts w:ascii="Avenir Black" w:eastAsiaTheme="minorEastAsia" w:hAnsi="Avenir Black" w:cstheme="minorBidi"/>
              <w:b/>
              <w:bCs/>
              <w:i w:val="0"/>
              <w:iCs w:val="0"/>
              <w:noProof/>
              <w:sz w:val="24"/>
              <w:szCs w:val="24"/>
            </w:rPr>
          </w:pPr>
          <w:hyperlink w:anchor="_Toc62730360" w:history="1">
            <w:r w:rsidR="00827A91" w:rsidRPr="00D067AE">
              <w:rPr>
                <w:rStyle w:val="Hyperlink"/>
                <w:rFonts w:ascii="Avenir Black" w:hAnsi="Avenir Black"/>
                <w:b/>
                <w:bCs/>
                <w:i w:val="0"/>
                <w:iCs w:val="0"/>
                <w:noProof/>
              </w:rPr>
              <w:t>National Public Defense Standards</w:t>
            </w:r>
            <w:r w:rsidR="00827A91" w:rsidRPr="00D067AE">
              <w:rPr>
                <w:rFonts w:ascii="Avenir Black" w:hAnsi="Avenir Black"/>
                <w:b/>
                <w:bCs/>
                <w:i w:val="0"/>
                <w:iCs w:val="0"/>
                <w:noProof/>
                <w:webHidden/>
              </w:rPr>
              <w:tab/>
            </w:r>
            <w:r w:rsidR="00827A91" w:rsidRPr="00D067AE">
              <w:rPr>
                <w:rFonts w:ascii="Avenir Black" w:hAnsi="Avenir Black"/>
                <w:b/>
                <w:bCs/>
                <w:i w:val="0"/>
                <w:iCs w:val="0"/>
                <w:noProof/>
                <w:webHidden/>
              </w:rPr>
              <w:fldChar w:fldCharType="begin"/>
            </w:r>
            <w:r w:rsidR="00827A91" w:rsidRPr="00D067AE">
              <w:rPr>
                <w:rFonts w:ascii="Avenir Black" w:hAnsi="Avenir Black"/>
                <w:b/>
                <w:bCs/>
                <w:i w:val="0"/>
                <w:iCs w:val="0"/>
                <w:noProof/>
                <w:webHidden/>
              </w:rPr>
              <w:instrText xml:space="preserve"> PAGEREF _Toc62730360 \h </w:instrText>
            </w:r>
            <w:r w:rsidR="00827A91" w:rsidRPr="00D067AE">
              <w:rPr>
                <w:rFonts w:ascii="Avenir Black" w:hAnsi="Avenir Black"/>
                <w:b/>
                <w:bCs/>
                <w:i w:val="0"/>
                <w:iCs w:val="0"/>
                <w:noProof/>
                <w:webHidden/>
              </w:rPr>
            </w:r>
            <w:r w:rsidR="00827A91" w:rsidRPr="00D067AE">
              <w:rPr>
                <w:rFonts w:ascii="Avenir Black" w:hAnsi="Avenir Black"/>
                <w:b/>
                <w:bCs/>
                <w:i w:val="0"/>
                <w:iCs w:val="0"/>
                <w:noProof/>
                <w:webHidden/>
              </w:rPr>
              <w:fldChar w:fldCharType="separate"/>
            </w:r>
            <w:r w:rsidR="00301978">
              <w:rPr>
                <w:rFonts w:ascii="Avenir Black" w:hAnsi="Avenir Black"/>
                <w:b/>
                <w:bCs/>
                <w:i w:val="0"/>
                <w:iCs w:val="0"/>
                <w:noProof/>
                <w:webHidden/>
              </w:rPr>
              <w:t>9</w:t>
            </w:r>
            <w:r w:rsidR="00827A91" w:rsidRPr="00D067AE">
              <w:rPr>
                <w:rFonts w:ascii="Avenir Black" w:hAnsi="Avenir Black"/>
                <w:b/>
                <w:bCs/>
                <w:i w:val="0"/>
                <w:iCs w:val="0"/>
                <w:noProof/>
                <w:webHidden/>
              </w:rPr>
              <w:fldChar w:fldCharType="end"/>
            </w:r>
          </w:hyperlink>
        </w:p>
        <w:p w14:paraId="5864FBA9" w14:textId="67D824A7" w:rsidR="00827A91" w:rsidRPr="00D067AE" w:rsidRDefault="000E2E79">
          <w:pPr>
            <w:pStyle w:val="TOC2"/>
            <w:tabs>
              <w:tab w:val="right" w:pos="9350"/>
            </w:tabs>
            <w:rPr>
              <w:rFonts w:ascii="Avenir Black" w:eastAsiaTheme="minorEastAsia" w:hAnsi="Avenir Black" w:cstheme="minorBidi"/>
              <w:b/>
              <w:bCs/>
              <w:i w:val="0"/>
              <w:iCs w:val="0"/>
              <w:noProof/>
              <w:sz w:val="24"/>
              <w:szCs w:val="24"/>
            </w:rPr>
          </w:pPr>
          <w:hyperlink w:anchor="_Toc62730361" w:history="1">
            <w:r w:rsidR="00827A91" w:rsidRPr="00D067AE">
              <w:rPr>
                <w:rStyle w:val="Hyperlink"/>
                <w:rFonts w:ascii="Avenir Black" w:hAnsi="Avenir Black"/>
                <w:b/>
                <w:bCs/>
                <w:i w:val="0"/>
                <w:iCs w:val="0"/>
                <w:noProof/>
              </w:rPr>
              <w:t>The Legal Landscape in Pennsylvania</w:t>
            </w:r>
            <w:r w:rsidR="00827A91" w:rsidRPr="00D067AE">
              <w:rPr>
                <w:rFonts w:ascii="Avenir Black" w:hAnsi="Avenir Black"/>
                <w:b/>
                <w:bCs/>
                <w:i w:val="0"/>
                <w:iCs w:val="0"/>
                <w:noProof/>
                <w:webHidden/>
              </w:rPr>
              <w:tab/>
            </w:r>
            <w:r w:rsidR="00827A91" w:rsidRPr="00D067AE">
              <w:rPr>
                <w:rFonts w:ascii="Avenir Black" w:hAnsi="Avenir Black"/>
                <w:b/>
                <w:bCs/>
                <w:i w:val="0"/>
                <w:iCs w:val="0"/>
                <w:noProof/>
                <w:webHidden/>
              </w:rPr>
              <w:fldChar w:fldCharType="begin"/>
            </w:r>
            <w:r w:rsidR="00827A91" w:rsidRPr="00D067AE">
              <w:rPr>
                <w:rFonts w:ascii="Avenir Black" w:hAnsi="Avenir Black"/>
                <w:b/>
                <w:bCs/>
                <w:i w:val="0"/>
                <w:iCs w:val="0"/>
                <w:noProof/>
                <w:webHidden/>
              </w:rPr>
              <w:instrText xml:space="preserve"> PAGEREF _Toc62730361 \h </w:instrText>
            </w:r>
            <w:r w:rsidR="00827A91" w:rsidRPr="00D067AE">
              <w:rPr>
                <w:rFonts w:ascii="Avenir Black" w:hAnsi="Avenir Black"/>
                <w:b/>
                <w:bCs/>
                <w:i w:val="0"/>
                <w:iCs w:val="0"/>
                <w:noProof/>
                <w:webHidden/>
              </w:rPr>
            </w:r>
            <w:r w:rsidR="00827A91" w:rsidRPr="00D067AE">
              <w:rPr>
                <w:rFonts w:ascii="Avenir Black" w:hAnsi="Avenir Black"/>
                <w:b/>
                <w:bCs/>
                <w:i w:val="0"/>
                <w:iCs w:val="0"/>
                <w:noProof/>
                <w:webHidden/>
              </w:rPr>
              <w:fldChar w:fldCharType="separate"/>
            </w:r>
            <w:r w:rsidR="00301978">
              <w:rPr>
                <w:rFonts w:ascii="Avenir Black" w:hAnsi="Avenir Black"/>
                <w:b/>
                <w:bCs/>
                <w:i w:val="0"/>
                <w:iCs w:val="0"/>
                <w:noProof/>
                <w:webHidden/>
              </w:rPr>
              <w:t>11</w:t>
            </w:r>
            <w:r w:rsidR="00827A91" w:rsidRPr="00D067AE">
              <w:rPr>
                <w:rFonts w:ascii="Avenir Black" w:hAnsi="Avenir Black"/>
                <w:b/>
                <w:bCs/>
                <w:i w:val="0"/>
                <w:iCs w:val="0"/>
                <w:noProof/>
                <w:webHidden/>
              </w:rPr>
              <w:fldChar w:fldCharType="end"/>
            </w:r>
          </w:hyperlink>
        </w:p>
        <w:p w14:paraId="35175B69" w14:textId="2ED5CD9F" w:rsidR="00827A91" w:rsidRPr="00D067AE" w:rsidRDefault="000E2E79">
          <w:pPr>
            <w:pStyle w:val="TOC2"/>
            <w:tabs>
              <w:tab w:val="right" w:pos="9350"/>
            </w:tabs>
            <w:rPr>
              <w:rFonts w:ascii="Avenir Black" w:eastAsiaTheme="minorEastAsia" w:hAnsi="Avenir Black" w:cstheme="minorBidi"/>
              <w:b/>
              <w:bCs/>
              <w:i w:val="0"/>
              <w:iCs w:val="0"/>
              <w:noProof/>
              <w:sz w:val="24"/>
              <w:szCs w:val="24"/>
            </w:rPr>
          </w:pPr>
          <w:hyperlink w:anchor="_Toc62730362" w:history="1">
            <w:r w:rsidR="00827A91" w:rsidRPr="00D067AE">
              <w:rPr>
                <w:rStyle w:val="Hyperlink"/>
                <w:rFonts w:ascii="Avenir Black" w:hAnsi="Avenir Black"/>
                <w:b/>
                <w:bCs/>
                <w:i w:val="0"/>
                <w:iCs w:val="0"/>
                <w:noProof/>
              </w:rPr>
              <w:t>A Closer Look at Montgomery County</w:t>
            </w:r>
            <w:r w:rsidR="00827A91" w:rsidRPr="00D067AE">
              <w:rPr>
                <w:rFonts w:ascii="Avenir Black" w:hAnsi="Avenir Black"/>
                <w:b/>
                <w:bCs/>
                <w:i w:val="0"/>
                <w:iCs w:val="0"/>
                <w:noProof/>
                <w:webHidden/>
              </w:rPr>
              <w:tab/>
            </w:r>
            <w:r w:rsidR="00827A91" w:rsidRPr="00D067AE">
              <w:rPr>
                <w:rFonts w:ascii="Avenir Black" w:hAnsi="Avenir Black"/>
                <w:b/>
                <w:bCs/>
                <w:i w:val="0"/>
                <w:iCs w:val="0"/>
                <w:noProof/>
                <w:webHidden/>
              </w:rPr>
              <w:fldChar w:fldCharType="begin"/>
            </w:r>
            <w:r w:rsidR="00827A91" w:rsidRPr="00D067AE">
              <w:rPr>
                <w:rFonts w:ascii="Avenir Black" w:hAnsi="Avenir Black"/>
                <w:b/>
                <w:bCs/>
                <w:i w:val="0"/>
                <w:iCs w:val="0"/>
                <w:noProof/>
                <w:webHidden/>
              </w:rPr>
              <w:instrText xml:space="preserve"> PAGEREF _Toc62730362 \h </w:instrText>
            </w:r>
            <w:r w:rsidR="00827A91" w:rsidRPr="00D067AE">
              <w:rPr>
                <w:rFonts w:ascii="Avenir Black" w:hAnsi="Avenir Black"/>
                <w:b/>
                <w:bCs/>
                <w:i w:val="0"/>
                <w:iCs w:val="0"/>
                <w:noProof/>
                <w:webHidden/>
              </w:rPr>
            </w:r>
            <w:r w:rsidR="00827A91" w:rsidRPr="00D067AE">
              <w:rPr>
                <w:rFonts w:ascii="Avenir Black" w:hAnsi="Avenir Black"/>
                <w:b/>
                <w:bCs/>
                <w:i w:val="0"/>
                <w:iCs w:val="0"/>
                <w:noProof/>
                <w:webHidden/>
              </w:rPr>
              <w:fldChar w:fldCharType="separate"/>
            </w:r>
            <w:r w:rsidR="00301978">
              <w:rPr>
                <w:rFonts w:ascii="Avenir Black" w:hAnsi="Avenir Black"/>
                <w:b/>
                <w:bCs/>
                <w:i w:val="0"/>
                <w:iCs w:val="0"/>
                <w:noProof/>
                <w:webHidden/>
              </w:rPr>
              <w:t>13</w:t>
            </w:r>
            <w:r w:rsidR="00827A91" w:rsidRPr="00D067AE">
              <w:rPr>
                <w:rFonts w:ascii="Avenir Black" w:hAnsi="Avenir Black"/>
                <w:b/>
                <w:bCs/>
                <w:i w:val="0"/>
                <w:iCs w:val="0"/>
                <w:noProof/>
                <w:webHidden/>
              </w:rPr>
              <w:fldChar w:fldCharType="end"/>
            </w:r>
          </w:hyperlink>
        </w:p>
        <w:p w14:paraId="5C1A9CE4" w14:textId="7A240803" w:rsidR="00827A91" w:rsidRPr="00D067AE" w:rsidRDefault="000E2E79">
          <w:pPr>
            <w:pStyle w:val="TOC3"/>
            <w:tabs>
              <w:tab w:val="right" w:pos="9350"/>
            </w:tabs>
            <w:rPr>
              <w:rFonts w:ascii="Avenir Black" w:eastAsiaTheme="minorEastAsia" w:hAnsi="Avenir Black" w:cstheme="minorBidi"/>
              <w:b/>
              <w:bCs/>
              <w:noProof/>
              <w:sz w:val="24"/>
              <w:szCs w:val="24"/>
            </w:rPr>
          </w:pPr>
          <w:hyperlink w:anchor="_Toc62730363" w:history="1">
            <w:r w:rsidR="00827A91" w:rsidRPr="00D067AE">
              <w:rPr>
                <w:rStyle w:val="Hyperlink"/>
                <w:rFonts w:ascii="Avenir Black" w:hAnsi="Avenir Black"/>
                <w:b/>
                <w:bCs/>
                <w:noProof/>
              </w:rPr>
              <w:t>The Role of Montgomery County Board of Commissioners</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_Toc62730363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15</w:t>
            </w:r>
            <w:r w:rsidR="00827A91" w:rsidRPr="00D067AE">
              <w:rPr>
                <w:rFonts w:ascii="Avenir Black" w:hAnsi="Avenir Black"/>
                <w:b/>
                <w:bCs/>
                <w:noProof/>
                <w:webHidden/>
              </w:rPr>
              <w:fldChar w:fldCharType="end"/>
            </w:r>
          </w:hyperlink>
        </w:p>
        <w:p w14:paraId="0401B731" w14:textId="7F074FC0" w:rsidR="00827A91" w:rsidRPr="00D067AE" w:rsidRDefault="000E2E79">
          <w:pPr>
            <w:pStyle w:val="TOC3"/>
            <w:tabs>
              <w:tab w:val="right" w:pos="9350"/>
            </w:tabs>
            <w:rPr>
              <w:rFonts w:ascii="Avenir Black" w:eastAsiaTheme="minorEastAsia" w:hAnsi="Avenir Black" w:cstheme="minorBidi"/>
              <w:b/>
              <w:bCs/>
              <w:noProof/>
              <w:sz w:val="24"/>
              <w:szCs w:val="24"/>
            </w:rPr>
          </w:pPr>
          <w:hyperlink w:anchor="_Toc62730364" w:history="1">
            <w:r w:rsidR="00827A91" w:rsidRPr="00D067AE">
              <w:rPr>
                <w:rStyle w:val="Hyperlink"/>
                <w:rFonts w:ascii="Avenir Black" w:hAnsi="Avenir Black"/>
                <w:b/>
                <w:bCs/>
                <w:noProof/>
              </w:rPr>
              <w:t>Montgomery County Budget</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_Toc62730364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15</w:t>
            </w:r>
            <w:r w:rsidR="00827A91" w:rsidRPr="00D067AE">
              <w:rPr>
                <w:rFonts w:ascii="Avenir Black" w:hAnsi="Avenir Black"/>
                <w:b/>
                <w:bCs/>
                <w:noProof/>
                <w:webHidden/>
              </w:rPr>
              <w:fldChar w:fldCharType="end"/>
            </w:r>
          </w:hyperlink>
        </w:p>
        <w:p w14:paraId="50DD768A" w14:textId="3DBEA1EB" w:rsidR="00827A91" w:rsidRPr="00D067AE" w:rsidRDefault="000E2E79">
          <w:pPr>
            <w:pStyle w:val="TOC2"/>
            <w:tabs>
              <w:tab w:val="right" w:pos="9350"/>
            </w:tabs>
            <w:rPr>
              <w:rFonts w:ascii="Avenir Black" w:eastAsiaTheme="minorEastAsia" w:hAnsi="Avenir Black" w:cstheme="minorBidi"/>
              <w:b/>
              <w:bCs/>
              <w:i w:val="0"/>
              <w:iCs w:val="0"/>
              <w:noProof/>
              <w:sz w:val="24"/>
              <w:szCs w:val="24"/>
            </w:rPr>
          </w:pPr>
          <w:hyperlink w:anchor="_Toc62730365" w:history="1">
            <w:r w:rsidR="00827A91" w:rsidRPr="00D067AE">
              <w:rPr>
                <w:rStyle w:val="Hyperlink"/>
                <w:rFonts w:ascii="Avenir Black" w:hAnsi="Avenir Black"/>
                <w:b/>
                <w:bCs/>
                <w:i w:val="0"/>
                <w:iCs w:val="0"/>
                <w:noProof/>
              </w:rPr>
              <w:t>The Montgomery County Office of the Public Defender</w:t>
            </w:r>
            <w:r w:rsidR="00827A91" w:rsidRPr="00D067AE">
              <w:rPr>
                <w:rFonts w:ascii="Avenir Black" w:hAnsi="Avenir Black"/>
                <w:b/>
                <w:bCs/>
                <w:i w:val="0"/>
                <w:iCs w:val="0"/>
                <w:noProof/>
                <w:webHidden/>
              </w:rPr>
              <w:tab/>
            </w:r>
            <w:r w:rsidR="00827A91" w:rsidRPr="00D067AE">
              <w:rPr>
                <w:rFonts w:ascii="Avenir Black" w:hAnsi="Avenir Black"/>
                <w:b/>
                <w:bCs/>
                <w:i w:val="0"/>
                <w:iCs w:val="0"/>
                <w:noProof/>
                <w:webHidden/>
              </w:rPr>
              <w:fldChar w:fldCharType="begin"/>
            </w:r>
            <w:r w:rsidR="00827A91" w:rsidRPr="00D067AE">
              <w:rPr>
                <w:rFonts w:ascii="Avenir Black" w:hAnsi="Avenir Black"/>
                <w:b/>
                <w:bCs/>
                <w:i w:val="0"/>
                <w:iCs w:val="0"/>
                <w:noProof/>
                <w:webHidden/>
              </w:rPr>
              <w:instrText xml:space="preserve"> PAGEREF _Toc62730365 \h </w:instrText>
            </w:r>
            <w:r w:rsidR="00827A91" w:rsidRPr="00D067AE">
              <w:rPr>
                <w:rFonts w:ascii="Avenir Black" w:hAnsi="Avenir Black"/>
                <w:b/>
                <w:bCs/>
                <w:i w:val="0"/>
                <w:iCs w:val="0"/>
                <w:noProof/>
                <w:webHidden/>
              </w:rPr>
            </w:r>
            <w:r w:rsidR="00827A91" w:rsidRPr="00D067AE">
              <w:rPr>
                <w:rFonts w:ascii="Avenir Black" w:hAnsi="Avenir Black"/>
                <w:b/>
                <w:bCs/>
                <w:i w:val="0"/>
                <w:iCs w:val="0"/>
                <w:noProof/>
                <w:webHidden/>
              </w:rPr>
              <w:fldChar w:fldCharType="separate"/>
            </w:r>
            <w:r w:rsidR="00301978">
              <w:rPr>
                <w:rFonts w:ascii="Avenir Black" w:hAnsi="Avenir Black"/>
                <w:b/>
                <w:bCs/>
                <w:i w:val="0"/>
                <w:iCs w:val="0"/>
                <w:noProof/>
                <w:webHidden/>
              </w:rPr>
              <w:t>17</w:t>
            </w:r>
            <w:r w:rsidR="00827A91" w:rsidRPr="00D067AE">
              <w:rPr>
                <w:rFonts w:ascii="Avenir Black" w:hAnsi="Avenir Black"/>
                <w:b/>
                <w:bCs/>
                <w:i w:val="0"/>
                <w:iCs w:val="0"/>
                <w:noProof/>
                <w:webHidden/>
              </w:rPr>
              <w:fldChar w:fldCharType="end"/>
            </w:r>
          </w:hyperlink>
        </w:p>
        <w:p w14:paraId="5B197E9F" w14:textId="5290B635" w:rsidR="00827A91" w:rsidRPr="006439E8" w:rsidRDefault="000E2E79" w:rsidP="006439E8">
          <w:pPr>
            <w:pStyle w:val="TOC1"/>
            <w:rPr>
              <w:rFonts w:eastAsiaTheme="minorEastAsia" w:cstheme="minorBidi"/>
              <w:sz w:val="24"/>
              <w:szCs w:val="24"/>
            </w:rPr>
          </w:pPr>
          <w:hyperlink w:anchor="_Toc62730366" w:history="1">
            <w:r w:rsidR="00827A91" w:rsidRPr="006439E8">
              <w:rPr>
                <w:rStyle w:val="Hyperlink"/>
                <w:color w:val="91211B"/>
              </w:rPr>
              <w:t>DISCUSSION OF CONSIDERATIONS</w:t>
            </w:r>
            <w:r w:rsidR="00827A91" w:rsidRPr="006439E8">
              <w:rPr>
                <w:webHidden/>
              </w:rPr>
              <w:tab/>
            </w:r>
            <w:r w:rsidR="00827A91" w:rsidRPr="006439E8">
              <w:rPr>
                <w:webHidden/>
              </w:rPr>
              <w:fldChar w:fldCharType="begin"/>
            </w:r>
            <w:r w:rsidR="00827A91" w:rsidRPr="006439E8">
              <w:rPr>
                <w:webHidden/>
              </w:rPr>
              <w:instrText xml:space="preserve"> PAGEREF _Toc62730366 \h </w:instrText>
            </w:r>
            <w:r w:rsidR="00827A91" w:rsidRPr="006439E8">
              <w:rPr>
                <w:webHidden/>
              </w:rPr>
            </w:r>
            <w:r w:rsidR="00827A91" w:rsidRPr="006439E8">
              <w:rPr>
                <w:webHidden/>
              </w:rPr>
              <w:fldChar w:fldCharType="separate"/>
            </w:r>
            <w:r w:rsidR="00301978">
              <w:rPr>
                <w:webHidden/>
              </w:rPr>
              <w:t>20</w:t>
            </w:r>
            <w:r w:rsidR="00827A91" w:rsidRPr="006439E8">
              <w:rPr>
                <w:webHidden/>
              </w:rPr>
              <w:fldChar w:fldCharType="end"/>
            </w:r>
          </w:hyperlink>
        </w:p>
        <w:p w14:paraId="7C1B8894" w14:textId="73F58C3E" w:rsidR="00827A91" w:rsidRPr="00D067AE" w:rsidRDefault="000E2E79">
          <w:pPr>
            <w:pStyle w:val="TOC2"/>
            <w:tabs>
              <w:tab w:val="right" w:pos="9350"/>
            </w:tabs>
            <w:rPr>
              <w:rFonts w:ascii="Avenir Black" w:eastAsiaTheme="minorEastAsia" w:hAnsi="Avenir Black" w:cstheme="minorBidi"/>
              <w:b/>
              <w:bCs/>
              <w:i w:val="0"/>
              <w:iCs w:val="0"/>
              <w:noProof/>
              <w:sz w:val="24"/>
              <w:szCs w:val="24"/>
            </w:rPr>
          </w:pPr>
          <w:hyperlink w:anchor="_Toc62730367" w:history="1">
            <w:r w:rsidR="00827A91" w:rsidRPr="00D067AE">
              <w:rPr>
                <w:rStyle w:val="Hyperlink"/>
                <w:rFonts w:ascii="Avenir Black" w:hAnsi="Avenir Black"/>
                <w:b/>
                <w:bCs/>
                <w:i w:val="0"/>
                <w:iCs w:val="0"/>
                <w:noProof/>
              </w:rPr>
              <w:t>ENSURING INDEPENDENCE</w:t>
            </w:r>
            <w:r w:rsidR="00827A91" w:rsidRPr="00D067AE">
              <w:rPr>
                <w:rFonts w:ascii="Avenir Black" w:hAnsi="Avenir Black"/>
                <w:b/>
                <w:bCs/>
                <w:i w:val="0"/>
                <w:iCs w:val="0"/>
                <w:noProof/>
                <w:webHidden/>
              </w:rPr>
              <w:tab/>
            </w:r>
            <w:r w:rsidR="00827A91" w:rsidRPr="00D067AE">
              <w:rPr>
                <w:rFonts w:ascii="Avenir Black" w:hAnsi="Avenir Black"/>
                <w:b/>
                <w:bCs/>
                <w:i w:val="0"/>
                <w:iCs w:val="0"/>
                <w:noProof/>
                <w:webHidden/>
              </w:rPr>
              <w:fldChar w:fldCharType="begin"/>
            </w:r>
            <w:r w:rsidR="00827A91" w:rsidRPr="00D067AE">
              <w:rPr>
                <w:rFonts w:ascii="Avenir Black" w:hAnsi="Avenir Black"/>
                <w:b/>
                <w:bCs/>
                <w:i w:val="0"/>
                <w:iCs w:val="0"/>
                <w:noProof/>
                <w:webHidden/>
              </w:rPr>
              <w:instrText xml:space="preserve"> PAGEREF _Toc62730367 \h </w:instrText>
            </w:r>
            <w:r w:rsidR="00827A91" w:rsidRPr="00D067AE">
              <w:rPr>
                <w:rFonts w:ascii="Avenir Black" w:hAnsi="Avenir Black"/>
                <w:b/>
                <w:bCs/>
                <w:i w:val="0"/>
                <w:iCs w:val="0"/>
                <w:noProof/>
                <w:webHidden/>
              </w:rPr>
            </w:r>
            <w:r w:rsidR="00827A91" w:rsidRPr="00D067AE">
              <w:rPr>
                <w:rFonts w:ascii="Avenir Black" w:hAnsi="Avenir Black"/>
                <w:b/>
                <w:bCs/>
                <w:i w:val="0"/>
                <w:iCs w:val="0"/>
                <w:noProof/>
                <w:webHidden/>
              </w:rPr>
              <w:fldChar w:fldCharType="separate"/>
            </w:r>
            <w:r w:rsidR="00301978">
              <w:rPr>
                <w:rFonts w:ascii="Avenir Black" w:hAnsi="Avenir Black"/>
                <w:b/>
                <w:bCs/>
                <w:i w:val="0"/>
                <w:iCs w:val="0"/>
                <w:noProof/>
                <w:webHidden/>
              </w:rPr>
              <w:t>20</w:t>
            </w:r>
            <w:r w:rsidR="00827A91" w:rsidRPr="00D067AE">
              <w:rPr>
                <w:rFonts w:ascii="Avenir Black" w:hAnsi="Avenir Black"/>
                <w:b/>
                <w:bCs/>
                <w:i w:val="0"/>
                <w:iCs w:val="0"/>
                <w:noProof/>
                <w:webHidden/>
              </w:rPr>
              <w:fldChar w:fldCharType="end"/>
            </w:r>
          </w:hyperlink>
        </w:p>
        <w:p w14:paraId="47538868" w14:textId="4EA38D45" w:rsidR="00827A91" w:rsidRPr="00D067AE" w:rsidRDefault="000E2E79">
          <w:pPr>
            <w:pStyle w:val="TOC3"/>
            <w:tabs>
              <w:tab w:val="right" w:pos="9350"/>
            </w:tabs>
            <w:rPr>
              <w:rFonts w:ascii="Avenir Black" w:eastAsiaTheme="minorEastAsia" w:hAnsi="Avenir Black" w:cstheme="minorBidi"/>
              <w:b/>
              <w:bCs/>
              <w:noProof/>
              <w:sz w:val="24"/>
              <w:szCs w:val="24"/>
            </w:rPr>
          </w:pPr>
          <w:hyperlink w:anchor="_Toc62730368" w:history="1">
            <w:r w:rsidR="00827A91" w:rsidRPr="00D067AE">
              <w:rPr>
                <w:rStyle w:val="Hyperlink"/>
                <w:rFonts w:ascii="Avenir Black" w:hAnsi="Avenir Black"/>
                <w:b/>
                <w:bCs/>
                <w:noProof/>
              </w:rPr>
              <w:t>Political Influence</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_Toc62730368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21</w:t>
            </w:r>
            <w:r w:rsidR="00827A91" w:rsidRPr="00D067AE">
              <w:rPr>
                <w:rFonts w:ascii="Avenir Black" w:hAnsi="Avenir Black"/>
                <w:b/>
                <w:bCs/>
                <w:noProof/>
                <w:webHidden/>
              </w:rPr>
              <w:fldChar w:fldCharType="end"/>
            </w:r>
          </w:hyperlink>
        </w:p>
        <w:p w14:paraId="6AA4D452" w14:textId="5F0B3F80" w:rsidR="00827A91" w:rsidRPr="00D067AE" w:rsidRDefault="000E2E79">
          <w:pPr>
            <w:pStyle w:val="TOC3"/>
            <w:tabs>
              <w:tab w:val="right" w:pos="9350"/>
            </w:tabs>
            <w:rPr>
              <w:rFonts w:ascii="Avenir Black" w:eastAsiaTheme="minorEastAsia" w:hAnsi="Avenir Black" w:cstheme="minorBidi"/>
              <w:b/>
              <w:bCs/>
              <w:noProof/>
              <w:sz w:val="24"/>
              <w:szCs w:val="24"/>
            </w:rPr>
          </w:pPr>
          <w:hyperlink w:anchor="_Toc62730369" w:history="1">
            <w:r w:rsidR="00827A91" w:rsidRPr="00D067AE">
              <w:rPr>
                <w:rStyle w:val="Hyperlink"/>
                <w:rFonts w:ascii="Avenir Black" w:hAnsi="Avenir Black"/>
                <w:b/>
                <w:bCs/>
                <w:noProof/>
              </w:rPr>
              <w:t>Judicial Influence</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_Toc62730369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23</w:t>
            </w:r>
            <w:r w:rsidR="00827A91" w:rsidRPr="00D067AE">
              <w:rPr>
                <w:rFonts w:ascii="Avenir Black" w:hAnsi="Avenir Black"/>
                <w:b/>
                <w:bCs/>
                <w:noProof/>
                <w:webHidden/>
              </w:rPr>
              <w:fldChar w:fldCharType="end"/>
            </w:r>
          </w:hyperlink>
        </w:p>
        <w:p w14:paraId="50724620" w14:textId="001FC37E" w:rsidR="00827A91" w:rsidRPr="00D067AE" w:rsidRDefault="000E2E79">
          <w:pPr>
            <w:pStyle w:val="TOC3"/>
            <w:tabs>
              <w:tab w:val="right" w:pos="9350"/>
            </w:tabs>
            <w:rPr>
              <w:rFonts w:ascii="Avenir Black" w:eastAsiaTheme="minorEastAsia" w:hAnsi="Avenir Black" w:cstheme="minorBidi"/>
              <w:b/>
              <w:bCs/>
              <w:noProof/>
              <w:sz w:val="24"/>
              <w:szCs w:val="24"/>
            </w:rPr>
          </w:pPr>
          <w:hyperlink w:anchor="_Toc62730370" w:history="1">
            <w:r w:rsidR="00827A91" w:rsidRPr="00D067AE">
              <w:rPr>
                <w:rStyle w:val="Hyperlink"/>
                <w:rFonts w:ascii="Avenir Black" w:hAnsi="Avenir Black"/>
                <w:b/>
                <w:bCs/>
                <w:noProof/>
              </w:rPr>
              <w:t>The Landscape in Montgomery County</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_Toc62730370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24</w:t>
            </w:r>
            <w:r w:rsidR="00827A91" w:rsidRPr="00D067AE">
              <w:rPr>
                <w:rFonts w:ascii="Avenir Black" w:hAnsi="Avenir Black"/>
                <w:b/>
                <w:bCs/>
                <w:noProof/>
                <w:webHidden/>
              </w:rPr>
              <w:fldChar w:fldCharType="end"/>
            </w:r>
          </w:hyperlink>
        </w:p>
        <w:p w14:paraId="4AF90886" w14:textId="5E6E31F2" w:rsidR="00827A91" w:rsidRPr="00D067AE" w:rsidRDefault="000E2E79">
          <w:pPr>
            <w:pStyle w:val="TOC3"/>
            <w:tabs>
              <w:tab w:val="right" w:pos="9350"/>
            </w:tabs>
            <w:rPr>
              <w:rFonts w:ascii="Avenir Black" w:eastAsiaTheme="minorEastAsia" w:hAnsi="Avenir Black" w:cstheme="minorBidi"/>
              <w:b/>
              <w:bCs/>
              <w:noProof/>
              <w:sz w:val="24"/>
              <w:szCs w:val="24"/>
            </w:rPr>
          </w:pPr>
          <w:hyperlink w:anchor="_Toc62730371" w:history="1">
            <w:r w:rsidR="00827A91" w:rsidRPr="00D067AE">
              <w:rPr>
                <w:rStyle w:val="Hyperlink"/>
                <w:rFonts w:ascii="Avenir Black" w:hAnsi="Avenir Black"/>
                <w:b/>
                <w:bCs/>
                <w:noProof/>
              </w:rPr>
              <w:t>Structures That Can Mitigate External Influence</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_Toc62730371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25</w:t>
            </w:r>
            <w:r w:rsidR="00827A91" w:rsidRPr="00D067AE">
              <w:rPr>
                <w:rFonts w:ascii="Avenir Black" w:hAnsi="Avenir Black"/>
                <w:b/>
                <w:bCs/>
                <w:noProof/>
                <w:webHidden/>
              </w:rPr>
              <w:fldChar w:fldCharType="end"/>
            </w:r>
          </w:hyperlink>
        </w:p>
        <w:p w14:paraId="4EC8E0C9" w14:textId="54E1478F" w:rsidR="00827A91" w:rsidRPr="00D067AE" w:rsidRDefault="000E2E79">
          <w:pPr>
            <w:pStyle w:val="TOC4"/>
            <w:tabs>
              <w:tab w:val="right" w:pos="9350"/>
            </w:tabs>
            <w:rPr>
              <w:rFonts w:ascii="Avenir Black" w:eastAsiaTheme="minorEastAsia" w:hAnsi="Avenir Black" w:cstheme="minorBidi"/>
              <w:b/>
              <w:bCs/>
              <w:noProof/>
              <w:sz w:val="24"/>
              <w:szCs w:val="24"/>
            </w:rPr>
          </w:pPr>
          <w:hyperlink w:anchor="_Toc62730372" w:history="1">
            <w:r w:rsidR="00827A91" w:rsidRPr="00D067AE">
              <w:rPr>
                <w:rStyle w:val="Hyperlink"/>
                <w:rFonts w:ascii="Avenir Black" w:hAnsi="Avenir Black"/>
                <w:b/>
                <w:bCs/>
                <w:noProof/>
              </w:rPr>
              <w:t>External Structures: Oversight Boards</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_Toc62730372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26</w:t>
            </w:r>
            <w:r w:rsidR="00827A91" w:rsidRPr="00D067AE">
              <w:rPr>
                <w:rFonts w:ascii="Avenir Black" w:hAnsi="Avenir Black"/>
                <w:b/>
                <w:bCs/>
                <w:noProof/>
                <w:webHidden/>
              </w:rPr>
              <w:fldChar w:fldCharType="end"/>
            </w:r>
          </w:hyperlink>
        </w:p>
        <w:p w14:paraId="0B644C46" w14:textId="407C5F24" w:rsidR="00827A91" w:rsidRPr="00D067AE" w:rsidRDefault="000E2E79">
          <w:pPr>
            <w:pStyle w:val="TOC5"/>
            <w:tabs>
              <w:tab w:val="right" w:pos="9350"/>
            </w:tabs>
            <w:rPr>
              <w:rFonts w:ascii="Avenir Black" w:eastAsiaTheme="minorEastAsia" w:hAnsi="Avenir Black" w:cstheme="minorBidi"/>
              <w:b/>
              <w:bCs/>
              <w:noProof/>
              <w:sz w:val="24"/>
              <w:szCs w:val="24"/>
            </w:rPr>
          </w:pPr>
          <w:hyperlink w:anchor="_Toc62730373" w:history="1">
            <w:r w:rsidR="00827A91" w:rsidRPr="00D067AE">
              <w:rPr>
                <w:rStyle w:val="Hyperlink"/>
                <w:rFonts w:ascii="Avenir Black" w:hAnsi="Avenir Black"/>
                <w:b/>
                <w:bCs/>
                <w:noProof/>
              </w:rPr>
              <w:t>Types of Public Defense Oversight Boards</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_Toc62730373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27</w:t>
            </w:r>
            <w:r w:rsidR="00827A91" w:rsidRPr="00D067AE">
              <w:rPr>
                <w:rFonts w:ascii="Avenir Black" w:hAnsi="Avenir Black"/>
                <w:b/>
                <w:bCs/>
                <w:noProof/>
                <w:webHidden/>
              </w:rPr>
              <w:fldChar w:fldCharType="end"/>
            </w:r>
          </w:hyperlink>
        </w:p>
        <w:p w14:paraId="21CED753" w14:textId="7D5FB8A6" w:rsidR="00827A91" w:rsidRPr="00D067AE" w:rsidRDefault="000E2E79">
          <w:pPr>
            <w:pStyle w:val="TOC6"/>
            <w:tabs>
              <w:tab w:val="right" w:pos="9350"/>
            </w:tabs>
            <w:rPr>
              <w:rFonts w:ascii="Avenir Black" w:eastAsiaTheme="minorEastAsia" w:hAnsi="Avenir Black" w:cstheme="minorBidi"/>
              <w:b/>
              <w:bCs/>
              <w:noProof/>
              <w:sz w:val="24"/>
              <w:szCs w:val="24"/>
            </w:rPr>
          </w:pPr>
          <w:hyperlink w:anchor="_Toc62730374" w:history="1">
            <w:r w:rsidR="00827A91" w:rsidRPr="00D067AE">
              <w:rPr>
                <w:rStyle w:val="Hyperlink"/>
                <w:rFonts w:ascii="Avenir Black" w:hAnsi="Avenir Black"/>
                <w:b/>
                <w:bCs/>
                <w:noProof/>
              </w:rPr>
              <w:t>Statewide Oversight</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_Toc62730374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27</w:t>
            </w:r>
            <w:r w:rsidR="00827A91" w:rsidRPr="00D067AE">
              <w:rPr>
                <w:rFonts w:ascii="Avenir Black" w:hAnsi="Avenir Black"/>
                <w:b/>
                <w:bCs/>
                <w:noProof/>
                <w:webHidden/>
              </w:rPr>
              <w:fldChar w:fldCharType="end"/>
            </w:r>
          </w:hyperlink>
        </w:p>
        <w:p w14:paraId="17273FFB" w14:textId="485528EF" w:rsidR="00827A91" w:rsidRPr="00D067AE" w:rsidRDefault="000E2E79">
          <w:pPr>
            <w:pStyle w:val="TOC6"/>
            <w:tabs>
              <w:tab w:val="right" w:pos="9350"/>
            </w:tabs>
            <w:rPr>
              <w:rFonts w:ascii="Avenir Black" w:eastAsiaTheme="minorEastAsia" w:hAnsi="Avenir Black" w:cstheme="minorBidi"/>
              <w:b/>
              <w:bCs/>
              <w:noProof/>
              <w:sz w:val="24"/>
              <w:szCs w:val="24"/>
            </w:rPr>
          </w:pPr>
          <w:hyperlink w:anchor="_Toc62730375" w:history="1">
            <w:r w:rsidR="00827A91" w:rsidRPr="00D067AE">
              <w:rPr>
                <w:rStyle w:val="Hyperlink"/>
                <w:rFonts w:ascii="Avenir Black" w:hAnsi="Avenir Black"/>
                <w:b/>
                <w:bCs/>
                <w:noProof/>
              </w:rPr>
              <w:t>Limited or Local Oversight</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_Toc62730375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28</w:t>
            </w:r>
            <w:r w:rsidR="00827A91" w:rsidRPr="00D067AE">
              <w:rPr>
                <w:rFonts w:ascii="Avenir Black" w:hAnsi="Avenir Black"/>
                <w:b/>
                <w:bCs/>
                <w:noProof/>
                <w:webHidden/>
              </w:rPr>
              <w:fldChar w:fldCharType="end"/>
            </w:r>
          </w:hyperlink>
        </w:p>
        <w:p w14:paraId="57CE35D5" w14:textId="602ED1B8" w:rsidR="00827A91" w:rsidRPr="00D067AE" w:rsidRDefault="000E2E79">
          <w:pPr>
            <w:pStyle w:val="TOC6"/>
            <w:tabs>
              <w:tab w:val="right" w:pos="9350"/>
            </w:tabs>
            <w:rPr>
              <w:rFonts w:ascii="Avenir Black" w:eastAsiaTheme="minorEastAsia" w:hAnsi="Avenir Black" w:cstheme="minorBidi"/>
              <w:b/>
              <w:bCs/>
              <w:noProof/>
              <w:sz w:val="24"/>
              <w:szCs w:val="24"/>
            </w:rPr>
          </w:pPr>
          <w:hyperlink w:anchor="_Toc62730376" w:history="1">
            <w:r w:rsidR="00827A91" w:rsidRPr="00D067AE">
              <w:rPr>
                <w:rStyle w:val="Hyperlink"/>
                <w:rFonts w:ascii="Avenir Black" w:hAnsi="Avenir Black"/>
                <w:b/>
                <w:bCs/>
                <w:noProof/>
              </w:rPr>
              <w:t>No Oversight</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_Toc62730376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29</w:t>
            </w:r>
            <w:r w:rsidR="00827A91" w:rsidRPr="00D067AE">
              <w:rPr>
                <w:rFonts w:ascii="Avenir Black" w:hAnsi="Avenir Black"/>
                <w:b/>
                <w:bCs/>
                <w:noProof/>
                <w:webHidden/>
              </w:rPr>
              <w:fldChar w:fldCharType="end"/>
            </w:r>
          </w:hyperlink>
        </w:p>
        <w:p w14:paraId="1CF40852" w14:textId="0F908632" w:rsidR="00827A91" w:rsidRPr="00D067AE" w:rsidRDefault="000E2E79">
          <w:pPr>
            <w:pStyle w:val="TOC5"/>
            <w:tabs>
              <w:tab w:val="right" w:pos="9350"/>
            </w:tabs>
            <w:rPr>
              <w:rFonts w:ascii="Avenir Black" w:eastAsiaTheme="minorEastAsia" w:hAnsi="Avenir Black" w:cstheme="minorBidi"/>
              <w:b/>
              <w:bCs/>
              <w:noProof/>
              <w:sz w:val="24"/>
              <w:szCs w:val="24"/>
            </w:rPr>
          </w:pPr>
          <w:hyperlink w:anchor="_Toc62730377" w:history="1">
            <w:r w:rsidR="00827A91" w:rsidRPr="00D067AE">
              <w:rPr>
                <w:rStyle w:val="Hyperlink"/>
                <w:rFonts w:ascii="Avenir Black" w:hAnsi="Avenir Black"/>
                <w:b/>
                <w:bCs/>
                <w:noProof/>
              </w:rPr>
              <w:t>Structuring an Independent Oversight Board</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_Toc62730377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30</w:t>
            </w:r>
            <w:r w:rsidR="00827A91" w:rsidRPr="00D067AE">
              <w:rPr>
                <w:rFonts w:ascii="Avenir Black" w:hAnsi="Avenir Black"/>
                <w:b/>
                <w:bCs/>
                <w:noProof/>
                <w:webHidden/>
              </w:rPr>
              <w:fldChar w:fldCharType="end"/>
            </w:r>
          </w:hyperlink>
        </w:p>
        <w:p w14:paraId="58EFE065" w14:textId="3B5C42C1" w:rsidR="00827A91" w:rsidRPr="00D067AE" w:rsidRDefault="000E2E79">
          <w:pPr>
            <w:pStyle w:val="TOC5"/>
            <w:tabs>
              <w:tab w:val="right" w:pos="9350"/>
            </w:tabs>
            <w:rPr>
              <w:rFonts w:ascii="Avenir Black" w:eastAsiaTheme="minorEastAsia" w:hAnsi="Avenir Black" w:cstheme="minorBidi"/>
              <w:b/>
              <w:bCs/>
              <w:noProof/>
              <w:sz w:val="24"/>
              <w:szCs w:val="24"/>
            </w:rPr>
          </w:pPr>
          <w:hyperlink w:anchor="_Toc62730378" w:history="1">
            <w:r w:rsidR="00827A91" w:rsidRPr="00D067AE">
              <w:rPr>
                <w:rStyle w:val="Hyperlink"/>
                <w:rFonts w:ascii="Avenir Black" w:hAnsi="Avenir Black"/>
                <w:b/>
                <w:bCs/>
                <w:noProof/>
              </w:rPr>
              <w:t>Selecting the Chief Public Defender</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_Toc62730378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32</w:t>
            </w:r>
            <w:r w:rsidR="00827A91" w:rsidRPr="00D067AE">
              <w:rPr>
                <w:rFonts w:ascii="Avenir Black" w:hAnsi="Avenir Black"/>
                <w:b/>
                <w:bCs/>
                <w:noProof/>
                <w:webHidden/>
              </w:rPr>
              <w:fldChar w:fldCharType="end"/>
            </w:r>
          </w:hyperlink>
        </w:p>
        <w:p w14:paraId="05805BC9" w14:textId="02C72653" w:rsidR="00827A91" w:rsidRPr="00D067AE" w:rsidRDefault="000E2E79">
          <w:pPr>
            <w:pStyle w:val="TOC5"/>
            <w:tabs>
              <w:tab w:val="right" w:pos="9350"/>
            </w:tabs>
            <w:rPr>
              <w:rFonts w:ascii="Avenir Black" w:eastAsiaTheme="minorEastAsia" w:hAnsi="Avenir Black" w:cstheme="minorBidi"/>
              <w:b/>
              <w:bCs/>
              <w:noProof/>
              <w:sz w:val="24"/>
              <w:szCs w:val="24"/>
            </w:rPr>
          </w:pPr>
          <w:hyperlink w:anchor="_Toc62730379" w:history="1">
            <w:r w:rsidR="00827A91" w:rsidRPr="00D067AE">
              <w:rPr>
                <w:rStyle w:val="Hyperlink"/>
                <w:rFonts w:ascii="Avenir Black" w:hAnsi="Avenir Black"/>
                <w:b/>
                <w:bCs/>
                <w:noProof/>
              </w:rPr>
              <w:t>Other Functions</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_Toc62730379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33</w:t>
            </w:r>
            <w:r w:rsidR="00827A91" w:rsidRPr="00D067AE">
              <w:rPr>
                <w:rFonts w:ascii="Avenir Black" w:hAnsi="Avenir Black"/>
                <w:b/>
                <w:bCs/>
                <w:noProof/>
                <w:webHidden/>
              </w:rPr>
              <w:fldChar w:fldCharType="end"/>
            </w:r>
          </w:hyperlink>
        </w:p>
        <w:p w14:paraId="284DE060" w14:textId="458E659F" w:rsidR="00827A91" w:rsidRPr="00D067AE" w:rsidRDefault="000E2E79">
          <w:pPr>
            <w:pStyle w:val="TOC5"/>
            <w:tabs>
              <w:tab w:val="right" w:pos="9350"/>
            </w:tabs>
            <w:rPr>
              <w:rFonts w:ascii="Avenir Black" w:eastAsiaTheme="minorEastAsia" w:hAnsi="Avenir Black" w:cstheme="minorBidi"/>
              <w:b/>
              <w:bCs/>
              <w:noProof/>
              <w:sz w:val="24"/>
              <w:szCs w:val="24"/>
            </w:rPr>
          </w:pPr>
          <w:hyperlink w:anchor="_Toc62730380" w:history="1">
            <w:r w:rsidR="00827A91" w:rsidRPr="00D067AE">
              <w:rPr>
                <w:rStyle w:val="Hyperlink"/>
                <w:rFonts w:ascii="Avenir Black" w:hAnsi="Avenir Black"/>
                <w:b/>
                <w:bCs/>
                <w:noProof/>
              </w:rPr>
              <w:t>Political Considerations</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_Toc62730380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34</w:t>
            </w:r>
            <w:r w:rsidR="00827A91" w:rsidRPr="00D067AE">
              <w:rPr>
                <w:rFonts w:ascii="Avenir Black" w:hAnsi="Avenir Black"/>
                <w:b/>
                <w:bCs/>
                <w:noProof/>
                <w:webHidden/>
              </w:rPr>
              <w:fldChar w:fldCharType="end"/>
            </w:r>
          </w:hyperlink>
        </w:p>
        <w:p w14:paraId="4EA578BF" w14:textId="3C9076A0" w:rsidR="00827A91" w:rsidRPr="00D067AE" w:rsidRDefault="000E2E79">
          <w:pPr>
            <w:pStyle w:val="TOC4"/>
            <w:tabs>
              <w:tab w:val="right" w:pos="9350"/>
            </w:tabs>
            <w:rPr>
              <w:rFonts w:ascii="Avenir Black" w:eastAsiaTheme="minorEastAsia" w:hAnsi="Avenir Black" w:cstheme="minorBidi"/>
              <w:b/>
              <w:bCs/>
              <w:noProof/>
              <w:sz w:val="24"/>
              <w:szCs w:val="24"/>
            </w:rPr>
          </w:pPr>
          <w:hyperlink w:anchor="_Toc62730381" w:history="1">
            <w:r w:rsidR="00827A91" w:rsidRPr="00D067AE">
              <w:rPr>
                <w:rStyle w:val="Hyperlink"/>
                <w:rFonts w:ascii="Avenir Black" w:hAnsi="Avenir Black"/>
                <w:b/>
                <w:bCs/>
                <w:noProof/>
              </w:rPr>
              <w:t>Internal Structures: Human Resources and Case Assignment Assessment</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_Toc62730381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35</w:t>
            </w:r>
            <w:r w:rsidR="00827A91" w:rsidRPr="00D067AE">
              <w:rPr>
                <w:rFonts w:ascii="Avenir Black" w:hAnsi="Avenir Black"/>
                <w:b/>
                <w:bCs/>
                <w:noProof/>
                <w:webHidden/>
              </w:rPr>
              <w:fldChar w:fldCharType="end"/>
            </w:r>
          </w:hyperlink>
        </w:p>
        <w:p w14:paraId="3D16283B" w14:textId="1AB4B5BA" w:rsidR="00827A91" w:rsidRPr="00D067AE" w:rsidRDefault="000E2E79">
          <w:pPr>
            <w:pStyle w:val="TOC3"/>
            <w:tabs>
              <w:tab w:val="right" w:pos="9350"/>
            </w:tabs>
            <w:rPr>
              <w:rFonts w:ascii="Avenir Black" w:eastAsiaTheme="minorEastAsia" w:hAnsi="Avenir Black" w:cstheme="minorBidi"/>
              <w:b/>
              <w:bCs/>
              <w:noProof/>
              <w:sz w:val="24"/>
              <w:szCs w:val="24"/>
            </w:rPr>
          </w:pPr>
          <w:hyperlink w:anchor="_Toc62730382" w:history="1">
            <w:r w:rsidR="00827A91" w:rsidRPr="00D067AE">
              <w:rPr>
                <w:rStyle w:val="Hyperlink"/>
                <w:rFonts w:ascii="Avenir Black" w:hAnsi="Avenir Black"/>
                <w:b/>
                <w:bCs/>
                <w:noProof/>
              </w:rPr>
              <w:t>Conclusion</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_Toc62730382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36</w:t>
            </w:r>
            <w:r w:rsidR="00827A91" w:rsidRPr="00D067AE">
              <w:rPr>
                <w:rFonts w:ascii="Avenir Black" w:hAnsi="Avenir Black"/>
                <w:b/>
                <w:bCs/>
                <w:noProof/>
                <w:webHidden/>
              </w:rPr>
              <w:fldChar w:fldCharType="end"/>
            </w:r>
          </w:hyperlink>
        </w:p>
        <w:p w14:paraId="1612280B" w14:textId="6A75D13F" w:rsidR="00827A91" w:rsidRPr="00D067AE" w:rsidRDefault="000E2E79">
          <w:pPr>
            <w:pStyle w:val="TOC2"/>
            <w:tabs>
              <w:tab w:val="right" w:pos="9350"/>
            </w:tabs>
            <w:rPr>
              <w:rFonts w:ascii="Avenir Black" w:eastAsiaTheme="minorEastAsia" w:hAnsi="Avenir Black" w:cstheme="minorBidi"/>
              <w:b/>
              <w:bCs/>
              <w:i w:val="0"/>
              <w:iCs w:val="0"/>
              <w:noProof/>
              <w:sz w:val="24"/>
              <w:szCs w:val="24"/>
            </w:rPr>
          </w:pPr>
          <w:hyperlink w:anchor="_Toc62730383" w:history="1">
            <w:r w:rsidR="00827A91" w:rsidRPr="00D067AE">
              <w:rPr>
                <w:rStyle w:val="Hyperlink"/>
                <w:rFonts w:ascii="Avenir Black" w:hAnsi="Avenir Black"/>
                <w:b/>
                <w:bCs/>
                <w:i w:val="0"/>
                <w:iCs w:val="0"/>
                <w:noProof/>
              </w:rPr>
              <w:t>FUNDING CONSIDERATIONS</w:t>
            </w:r>
            <w:r w:rsidR="00827A91" w:rsidRPr="00D067AE">
              <w:rPr>
                <w:rFonts w:ascii="Avenir Black" w:hAnsi="Avenir Black"/>
                <w:b/>
                <w:bCs/>
                <w:i w:val="0"/>
                <w:iCs w:val="0"/>
                <w:noProof/>
                <w:webHidden/>
              </w:rPr>
              <w:tab/>
            </w:r>
            <w:r w:rsidR="00827A91" w:rsidRPr="00D067AE">
              <w:rPr>
                <w:rFonts w:ascii="Avenir Black" w:hAnsi="Avenir Black"/>
                <w:b/>
                <w:bCs/>
                <w:i w:val="0"/>
                <w:iCs w:val="0"/>
                <w:noProof/>
                <w:webHidden/>
              </w:rPr>
              <w:fldChar w:fldCharType="begin"/>
            </w:r>
            <w:r w:rsidR="00827A91" w:rsidRPr="00D067AE">
              <w:rPr>
                <w:rFonts w:ascii="Avenir Black" w:hAnsi="Avenir Black"/>
                <w:b/>
                <w:bCs/>
                <w:i w:val="0"/>
                <w:iCs w:val="0"/>
                <w:noProof/>
                <w:webHidden/>
              </w:rPr>
              <w:instrText xml:space="preserve"> PAGEREF _Toc62730383 \h </w:instrText>
            </w:r>
            <w:r w:rsidR="00827A91" w:rsidRPr="00D067AE">
              <w:rPr>
                <w:rFonts w:ascii="Avenir Black" w:hAnsi="Avenir Black"/>
                <w:b/>
                <w:bCs/>
                <w:i w:val="0"/>
                <w:iCs w:val="0"/>
                <w:noProof/>
                <w:webHidden/>
              </w:rPr>
            </w:r>
            <w:r w:rsidR="00827A91" w:rsidRPr="00D067AE">
              <w:rPr>
                <w:rFonts w:ascii="Avenir Black" w:hAnsi="Avenir Black"/>
                <w:b/>
                <w:bCs/>
                <w:i w:val="0"/>
                <w:iCs w:val="0"/>
                <w:noProof/>
                <w:webHidden/>
              </w:rPr>
              <w:fldChar w:fldCharType="separate"/>
            </w:r>
            <w:r w:rsidR="00301978">
              <w:rPr>
                <w:rFonts w:ascii="Avenir Black" w:hAnsi="Avenir Black"/>
                <w:b/>
                <w:bCs/>
                <w:i w:val="0"/>
                <w:iCs w:val="0"/>
                <w:noProof/>
                <w:webHidden/>
              </w:rPr>
              <w:t>37</w:t>
            </w:r>
            <w:r w:rsidR="00827A91" w:rsidRPr="00D067AE">
              <w:rPr>
                <w:rFonts w:ascii="Avenir Black" w:hAnsi="Avenir Black"/>
                <w:b/>
                <w:bCs/>
                <w:i w:val="0"/>
                <w:iCs w:val="0"/>
                <w:noProof/>
                <w:webHidden/>
              </w:rPr>
              <w:fldChar w:fldCharType="end"/>
            </w:r>
          </w:hyperlink>
        </w:p>
        <w:p w14:paraId="5196E1D9" w14:textId="36A0AB76" w:rsidR="00827A91" w:rsidRPr="00D067AE" w:rsidRDefault="000E2E79">
          <w:pPr>
            <w:pStyle w:val="TOC3"/>
            <w:tabs>
              <w:tab w:val="right" w:pos="9350"/>
            </w:tabs>
            <w:rPr>
              <w:rFonts w:ascii="Avenir Black" w:eastAsiaTheme="minorEastAsia" w:hAnsi="Avenir Black" w:cstheme="minorBidi"/>
              <w:b/>
              <w:bCs/>
              <w:noProof/>
              <w:sz w:val="24"/>
              <w:szCs w:val="24"/>
            </w:rPr>
          </w:pPr>
          <w:hyperlink w:anchor="_Toc62730384" w:history="1">
            <w:r w:rsidR="00827A91" w:rsidRPr="00D067AE">
              <w:rPr>
                <w:rStyle w:val="Hyperlink"/>
                <w:rFonts w:ascii="Avenir Black" w:hAnsi="Avenir Black"/>
                <w:b/>
                <w:bCs/>
                <w:noProof/>
              </w:rPr>
              <w:t>Types of Funding Models and Indigent Defense Systems</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_Toc62730384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38</w:t>
            </w:r>
            <w:r w:rsidR="00827A91" w:rsidRPr="00D067AE">
              <w:rPr>
                <w:rFonts w:ascii="Avenir Black" w:hAnsi="Avenir Black"/>
                <w:b/>
                <w:bCs/>
                <w:noProof/>
                <w:webHidden/>
              </w:rPr>
              <w:fldChar w:fldCharType="end"/>
            </w:r>
          </w:hyperlink>
        </w:p>
        <w:p w14:paraId="24630FFC" w14:textId="2C69D796" w:rsidR="00827A91" w:rsidRPr="00D067AE" w:rsidRDefault="000E2E79">
          <w:pPr>
            <w:pStyle w:val="TOC3"/>
            <w:tabs>
              <w:tab w:val="right" w:pos="9350"/>
            </w:tabs>
            <w:rPr>
              <w:rFonts w:ascii="Avenir Black" w:eastAsiaTheme="minorEastAsia" w:hAnsi="Avenir Black" w:cstheme="minorBidi"/>
              <w:b/>
              <w:bCs/>
              <w:noProof/>
              <w:sz w:val="24"/>
              <w:szCs w:val="24"/>
            </w:rPr>
          </w:pPr>
          <w:hyperlink w:anchor="_Toc62730385" w:history="1">
            <w:r w:rsidR="00827A91" w:rsidRPr="00D067AE">
              <w:rPr>
                <w:rStyle w:val="Hyperlink"/>
                <w:rFonts w:ascii="Avenir Black" w:hAnsi="Avenir Black"/>
                <w:b/>
                <w:bCs/>
                <w:noProof/>
              </w:rPr>
              <w:t>Funding Parity between Defenders and Prosecutors</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_Toc62730385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39</w:t>
            </w:r>
            <w:r w:rsidR="00827A91" w:rsidRPr="00D067AE">
              <w:rPr>
                <w:rFonts w:ascii="Avenir Black" w:hAnsi="Avenir Black"/>
                <w:b/>
                <w:bCs/>
                <w:noProof/>
                <w:webHidden/>
              </w:rPr>
              <w:fldChar w:fldCharType="end"/>
            </w:r>
          </w:hyperlink>
        </w:p>
        <w:p w14:paraId="0768FB56" w14:textId="27A9E1C0" w:rsidR="00827A91" w:rsidRPr="00D067AE" w:rsidRDefault="000E2E79">
          <w:pPr>
            <w:pStyle w:val="TOC4"/>
            <w:tabs>
              <w:tab w:val="right" w:pos="9350"/>
            </w:tabs>
            <w:rPr>
              <w:rFonts w:ascii="Avenir Black" w:eastAsiaTheme="minorEastAsia" w:hAnsi="Avenir Black" w:cstheme="minorBidi"/>
              <w:b/>
              <w:bCs/>
              <w:noProof/>
              <w:sz w:val="24"/>
              <w:szCs w:val="24"/>
            </w:rPr>
          </w:pPr>
          <w:hyperlink w:anchor="_Toc62730386" w:history="1">
            <w:r w:rsidR="00827A91" w:rsidRPr="00D067AE">
              <w:rPr>
                <w:rStyle w:val="Hyperlink"/>
                <w:rFonts w:ascii="Avenir Black" w:hAnsi="Avenir Black"/>
                <w:b/>
                <w:bCs/>
                <w:noProof/>
              </w:rPr>
              <w:t>Pay Parity</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_Toc62730386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40</w:t>
            </w:r>
            <w:r w:rsidR="00827A91" w:rsidRPr="00D067AE">
              <w:rPr>
                <w:rFonts w:ascii="Avenir Black" w:hAnsi="Avenir Black"/>
                <w:b/>
                <w:bCs/>
                <w:noProof/>
                <w:webHidden/>
              </w:rPr>
              <w:fldChar w:fldCharType="end"/>
            </w:r>
          </w:hyperlink>
        </w:p>
        <w:p w14:paraId="617EBBFA" w14:textId="4AFFB707" w:rsidR="00827A91" w:rsidRPr="00D067AE" w:rsidRDefault="000E2E79">
          <w:pPr>
            <w:pStyle w:val="TOC4"/>
            <w:tabs>
              <w:tab w:val="right" w:pos="9350"/>
            </w:tabs>
            <w:rPr>
              <w:rFonts w:ascii="Avenir Black" w:eastAsiaTheme="minorEastAsia" w:hAnsi="Avenir Black" w:cstheme="minorBidi"/>
              <w:b/>
              <w:bCs/>
              <w:noProof/>
              <w:sz w:val="24"/>
              <w:szCs w:val="24"/>
            </w:rPr>
          </w:pPr>
          <w:hyperlink w:anchor="_Toc62730387" w:history="1">
            <w:r w:rsidR="00827A91" w:rsidRPr="00D067AE">
              <w:rPr>
                <w:rStyle w:val="Hyperlink"/>
                <w:rFonts w:ascii="Avenir Black" w:hAnsi="Avenir Black"/>
                <w:b/>
                <w:bCs/>
                <w:noProof/>
              </w:rPr>
              <w:t>Resource Parity</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_Toc62730387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42</w:t>
            </w:r>
            <w:r w:rsidR="00827A91" w:rsidRPr="00D067AE">
              <w:rPr>
                <w:rFonts w:ascii="Avenir Black" w:hAnsi="Avenir Black"/>
                <w:b/>
                <w:bCs/>
                <w:noProof/>
                <w:webHidden/>
              </w:rPr>
              <w:fldChar w:fldCharType="end"/>
            </w:r>
          </w:hyperlink>
        </w:p>
        <w:p w14:paraId="55FE4654" w14:textId="5A1E4ED3" w:rsidR="00827A91" w:rsidRPr="00D067AE" w:rsidRDefault="000E2E79">
          <w:pPr>
            <w:pStyle w:val="TOC3"/>
            <w:tabs>
              <w:tab w:val="right" w:pos="9350"/>
            </w:tabs>
            <w:rPr>
              <w:rFonts w:ascii="Avenir Black" w:eastAsiaTheme="minorEastAsia" w:hAnsi="Avenir Black" w:cstheme="minorBidi"/>
              <w:b/>
              <w:bCs/>
              <w:noProof/>
              <w:sz w:val="24"/>
              <w:szCs w:val="24"/>
            </w:rPr>
          </w:pPr>
          <w:hyperlink w:anchor="_Toc62730388" w:history="1">
            <w:r w:rsidR="00827A91" w:rsidRPr="00D067AE">
              <w:rPr>
                <w:rStyle w:val="Hyperlink"/>
                <w:rFonts w:ascii="Avenir Black" w:hAnsi="Avenir Black"/>
                <w:b/>
                <w:bCs/>
                <w:noProof/>
              </w:rPr>
              <w:t>Other Funding Considerations</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_Toc62730388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44</w:t>
            </w:r>
            <w:r w:rsidR="00827A91" w:rsidRPr="00D067AE">
              <w:rPr>
                <w:rFonts w:ascii="Avenir Black" w:hAnsi="Avenir Black"/>
                <w:b/>
                <w:bCs/>
                <w:noProof/>
                <w:webHidden/>
              </w:rPr>
              <w:fldChar w:fldCharType="end"/>
            </w:r>
          </w:hyperlink>
        </w:p>
        <w:p w14:paraId="16DCDC8F" w14:textId="74D088C1" w:rsidR="00827A91" w:rsidRPr="00D067AE" w:rsidRDefault="000E2E79">
          <w:pPr>
            <w:pStyle w:val="TOC3"/>
            <w:tabs>
              <w:tab w:val="right" w:pos="9350"/>
            </w:tabs>
            <w:rPr>
              <w:rFonts w:ascii="Avenir Black" w:eastAsiaTheme="minorEastAsia" w:hAnsi="Avenir Black" w:cstheme="minorBidi"/>
              <w:b/>
              <w:bCs/>
              <w:noProof/>
              <w:sz w:val="24"/>
              <w:szCs w:val="24"/>
            </w:rPr>
          </w:pPr>
          <w:hyperlink w:anchor="_Toc62730389" w:history="1">
            <w:r w:rsidR="00827A91" w:rsidRPr="00D067AE">
              <w:rPr>
                <w:rStyle w:val="Hyperlink"/>
                <w:rFonts w:ascii="Avenir Black" w:hAnsi="Avenir Black"/>
                <w:b/>
                <w:bCs/>
                <w:noProof/>
              </w:rPr>
              <w:t>The Landscape in Montgomery County</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_Toc62730389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45</w:t>
            </w:r>
            <w:r w:rsidR="00827A91" w:rsidRPr="00D067AE">
              <w:rPr>
                <w:rFonts w:ascii="Avenir Black" w:hAnsi="Avenir Black"/>
                <w:b/>
                <w:bCs/>
                <w:noProof/>
                <w:webHidden/>
              </w:rPr>
              <w:fldChar w:fldCharType="end"/>
            </w:r>
          </w:hyperlink>
        </w:p>
        <w:p w14:paraId="32061DD6" w14:textId="61377920" w:rsidR="00827A91" w:rsidRPr="00D067AE" w:rsidRDefault="000E2E79">
          <w:pPr>
            <w:pStyle w:val="TOC3"/>
            <w:tabs>
              <w:tab w:val="right" w:pos="9350"/>
            </w:tabs>
            <w:rPr>
              <w:rFonts w:ascii="Avenir Black" w:eastAsiaTheme="minorEastAsia" w:hAnsi="Avenir Black" w:cstheme="minorBidi"/>
              <w:b/>
              <w:bCs/>
              <w:noProof/>
              <w:sz w:val="24"/>
              <w:szCs w:val="24"/>
            </w:rPr>
          </w:pPr>
          <w:hyperlink w:anchor="_Toc62730390" w:history="1">
            <w:r w:rsidR="00827A91" w:rsidRPr="00D067AE">
              <w:rPr>
                <w:rStyle w:val="Hyperlink"/>
                <w:rFonts w:ascii="Avenir Black" w:hAnsi="Avenir Black"/>
                <w:b/>
                <w:bCs/>
                <w:noProof/>
              </w:rPr>
              <w:t>Conclusion</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_Toc62730390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46</w:t>
            </w:r>
            <w:r w:rsidR="00827A91" w:rsidRPr="00D067AE">
              <w:rPr>
                <w:rFonts w:ascii="Avenir Black" w:hAnsi="Avenir Black"/>
                <w:b/>
                <w:bCs/>
                <w:noProof/>
                <w:webHidden/>
              </w:rPr>
              <w:fldChar w:fldCharType="end"/>
            </w:r>
          </w:hyperlink>
        </w:p>
        <w:p w14:paraId="2FB363F3" w14:textId="01B7DCB3" w:rsidR="00827A91" w:rsidRPr="00D067AE" w:rsidRDefault="000E2E79">
          <w:pPr>
            <w:pStyle w:val="TOC2"/>
            <w:tabs>
              <w:tab w:val="right" w:pos="9350"/>
            </w:tabs>
            <w:rPr>
              <w:rFonts w:ascii="Avenir Black" w:eastAsiaTheme="minorEastAsia" w:hAnsi="Avenir Black" w:cstheme="minorBidi"/>
              <w:b/>
              <w:bCs/>
              <w:i w:val="0"/>
              <w:iCs w:val="0"/>
              <w:noProof/>
              <w:sz w:val="24"/>
              <w:szCs w:val="24"/>
            </w:rPr>
          </w:pPr>
          <w:hyperlink w:anchor="_Toc62730391" w:history="1">
            <w:r w:rsidR="00827A91" w:rsidRPr="00D067AE">
              <w:rPr>
                <w:rStyle w:val="Hyperlink"/>
                <w:rFonts w:ascii="Avenir Black" w:hAnsi="Avenir Black"/>
                <w:b/>
                <w:bCs/>
                <w:i w:val="0"/>
                <w:iCs w:val="0"/>
                <w:noProof/>
              </w:rPr>
              <w:t>LITIGATION AND RISK MITIGATION</w:t>
            </w:r>
            <w:r w:rsidR="00827A91" w:rsidRPr="00D067AE">
              <w:rPr>
                <w:rFonts w:ascii="Avenir Black" w:hAnsi="Avenir Black"/>
                <w:b/>
                <w:bCs/>
                <w:i w:val="0"/>
                <w:iCs w:val="0"/>
                <w:noProof/>
                <w:webHidden/>
              </w:rPr>
              <w:tab/>
            </w:r>
            <w:r w:rsidR="00827A91" w:rsidRPr="00D067AE">
              <w:rPr>
                <w:rFonts w:ascii="Avenir Black" w:hAnsi="Avenir Black"/>
                <w:b/>
                <w:bCs/>
                <w:i w:val="0"/>
                <w:iCs w:val="0"/>
                <w:noProof/>
                <w:webHidden/>
              </w:rPr>
              <w:fldChar w:fldCharType="begin"/>
            </w:r>
            <w:r w:rsidR="00827A91" w:rsidRPr="00D067AE">
              <w:rPr>
                <w:rFonts w:ascii="Avenir Black" w:hAnsi="Avenir Black"/>
                <w:b/>
                <w:bCs/>
                <w:i w:val="0"/>
                <w:iCs w:val="0"/>
                <w:noProof/>
                <w:webHidden/>
              </w:rPr>
              <w:instrText xml:space="preserve"> PAGEREF _Toc62730391 \h </w:instrText>
            </w:r>
            <w:r w:rsidR="00827A91" w:rsidRPr="00D067AE">
              <w:rPr>
                <w:rFonts w:ascii="Avenir Black" w:hAnsi="Avenir Black"/>
                <w:b/>
                <w:bCs/>
                <w:i w:val="0"/>
                <w:iCs w:val="0"/>
                <w:noProof/>
                <w:webHidden/>
              </w:rPr>
            </w:r>
            <w:r w:rsidR="00827A91" w:rsidRPr="00D067AE">
              <w:rPr>
                <w:rFonts w:ascii="Avenir Black" w:hAnsi="Avenir Black"/>
                <w:b/>
                <w:bCs/>
                <w:i w:val="0"/>
                <w:iCs w:val="0"/>
                <w:noProof/>
                <w:webHidden/>
              </w:rPr>
              <w:fldChar w:fldCharType="separate"/>
            </w:r>
            <w:r w:rsidR="00301978">
              <w:rPr>
                <w:rFonts w:ascii="Avenir Black" w:hAnsi="Avenir Black"/>
                <w:b/>
                <w:bCs/>
                <w:i w:val="0"/>
                <w:iCs w:val="0"/>
                <w:noProof/>
                <w:webHidden/>
              </w:rPr>
              <w:t>47</w:t>
            </w:r>
            <w:r w:rsidR="00827A91" w:rsidRPr="00D067AE">
              <w:rPr>
                <w:rFonts w:ascii="Avenir Black" w:hAnsi="Avenir Black"/>
                <w:b/>
                <w:bCs/>
                <w:i w:val="0"/>
                <w:iCs w:val="0"/>
                <w:noProof/>
                <w:webHidden/>
              </w:rPr>
              <w:fldChar w:fldCharType="end"/>
            </w:r>
          </w:hyperlink>
        </w:p>
        <w:p w14:paraId="100E2684" w14:textId="39705611" w:rsidR="00827A91" w:rsidRPr="00D067AE" w:rsidRDefault="000E2E79">
          <w:pPr>
            <w:pStyle w:val="TOC3"/>
            <w:tabs>
              <w:tab w:val="right" w:pos="9350"/>
            </w:tabs>
            <w:rPr>
              <w:rFonts w:ascii="Avenir Black" w:eastAsiaTheme="minorEastAsia" w:hAnsi="Avenir Black" w:cstheme="minorBidi"/>
              <w:b/>
              <w:bCs/>
              <w:noProof/>
              <w:sz w:val="24"/>
              <w:szCs w:val="24"/>
            </w:rPr>
          </w:pPr>
          <w:hyperlink w:anchor="_Toc62730392" w:history="1">
            <w:r w:rsidR="00827A91" w:rsidRPr="00D067AE">
              <w:rPr>
                <w:rStyle w:val="Hyperlink"/>
                <w:rFonts w:ascii="Avenir Black" w:hAnsi="Avenir Black"/>
                <w:b/>
                <w:bCs/>
                <w:noProof/>
              </w:rPr>
              <w:t>Litigation Overview</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_Toc62730392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47</w:t>
            </w:r>
            <w:r w:rsidR="00827A91" w:rsidRPr="00D067AE">
              <w:rPr>
                <w:rFonts w:ascii="Avenir Black" w:hAnsi="Avenir Black"/>
                <w:b/>
                <w:bCs/>
                <w:noProof/>
                <w:webHidden/>
              </w:rPr>
              <w:fldChar w:fldCharType="end"/>
            </w:r>
          </w:hyperlink>
        </w:p>
        <w:p w14:paraId="09E84323" w14:textId="60AF7F0E" w:rsidR="00827A91" w:rsidRPr="00D067AE" w:rsidRDefault="000E2E79">
          <w:pPr>
            <w:pStyle w:val="TOC3"/>
            <w:tabs>
              <w:tab w:val="right" w:pos="9350"/>
            </w:tabs>
            <w:rPr>
              <w:rFonts w:ascii="Avenir Black" w:eastAsiaTheme="minorEastAsia" w:hAnsi="Avenir Black" w:cstheme="minorBidi"/>
              <w:b/>
              <w:bCs/>
              <w:noProof/>
              <w:sz w:val="24"/>
              <w:szCs w:val="24"/>
            </w:rPr>
          </w:pPr>
          <w:hyperlink w:anchor="_Toc62730393" w:history="1">
            <w:r w:rsidR="00827A91" w:rsidRPr="00D067AE">
              <w:rPr>
                <w:rStyle w:val="Hyperlink"/>
                <w:rFonts w:ascii="Avenir Black" w:hAnsi="Avenir Black"/>
                <w:b/>
                <w:bCs/>
                <w:noProof/>
              </w:rPr>
              <w:t>Risk Mitigation</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_Toc62730393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50</w:t>
            </w:r>
            <w:r w:rsidR="00827A91" w:rsidRPr="00D067AE">
              <w:rPr>
                <w:rFonts w:ascii="Avenir Black" w:hAnsi="Avenir Black"/>
                <w:b/>
                <w:bCs/>
                <w:noProof/>
                <w:webHidden/>
              </w:rPr>
              <w:fldChar w:fldCharType="end"/>
            </w:r>
          </w:hyperlink>
        </w:p>
        <w:p w14:paraId="2E645D7F" w14:textId="4A7290AF" w:rsidR="00827A91" w:rsidRPr="00D067AE" w:rsidRDefault="000E2E79">
          <w:pPr>
            <w:pStyle w:val="TOC4"/>
            <w:tabs>
              <w:tab w:val="right" w:pos="9350"/>
            </w:tabs>
            <w:rPr>
              <w:rFonts w:ascii="Avenir Black" w:eastAsiaTheme="minorEastAsia" w:hAnsi="Avenir Black" w:cstheme="minorBidi"/>
              <w:b/>
              <w:bCs/>
              <w:noProof/>
              <w:sz w:val="24"/>
              <w:szCs w:val="24"/>
            </w:rPr>
          </w:pPr>
          <w:hyperlink w:anchor="_Toc62730394" w:history="1">
            <w:r w:rsidR="00827A91" w:rsidRPr="00D067AE">
              <w:rPr>
                <w:rStyle w:val="Hyperlink"/>
                <w:rFonts w:ascii="Avenir Black" w:hAnsi="Avenir Black"/>
                <w:b/>
                <w:bCs/>
                <w:noProof/>
              </w:rPr>
              <w:t>Caseload Management</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_Toc62730394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51</w:t>
            </w:r>
            <w:r w:rsidR="00827A91" w:rsidRPr="00D067AE">
              <w:rPr>
                <w:rFonts w:ascii="Avenir Black" w:hAnsi="Avenir Black"/>
                <w:b/>
                <w:bCs/>
                <w:noProof/>
                <w:webHidden/>
              </w:rPr>
              <w:fldChar w:fldCharType="end"/>
            </w:r>
          </w:hyperlink>
        </w:p>
        <w:p w14:paraId="5B63AB6D" w14:textId="7AB052A4" w:rsidR="00827A91" w:rsidRPr="00D067AE" w:rsidRDefault="000E2E79">
          <w:pPr>
            <w:pStyle w:val="TOC4"/>
            <w:tabs>
              <w:tab w:val="right" w:pos="9350"/>
            </w:tabs>
            <w:rPr>
              <w:rFonts w:ascii="Avenir Black" w:eastAsiaTheme="minorEastAsia" w:hAnsi="Avenir Black" w:cstheme="minorBidi"/>
              <w:b/>
              <w:bCs/>
              <w:noProof/>
              <w:sz w:val="24"/>
              <w:szCs w:val="24"/>
            </w:rPr>
          </w:pPr>
          <w:hyperlink w:anchor="_Toc62730395" w:history="1">
            <w:r w:rsidR="00827A91" w:rsidRPr="00D067AE">
              <w:rPr>
                <w:rStyle w:val="Hyperlink"/>
                <w:rFonts w:ascii="Avenir Black" w:hAnsi="Avenir Black"/>
                <w:b/>
                <w:bCs/>
                <w:noProof/>
              </w:rPr>
              <w:t>Sufficiency of Training</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_Toc62730395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53</w:t>
            </w:r>
            <w:r w:rsidR="00827A91" w:rsidRPr="00D067AE">
              <w:rPr>
                <w:rFonts w:ascii="Avenir Black" w:hAnsi="Avenir Black"/>
                <w:b/>
                <w:bCs/>
                <w:noProof/>
                <w:webHidden/>
              </w:rPr>
              <w:fldChar w:fldCharType="end"/>
            </w:r>
          </w:hyperlink>
        </w:p>
        <w:p w14:paraId="19B449B8" w14:textId="7579AD76" w:rsidR="00827A91" w:rsidRPr="00D067AE" w:rsidRDefault="000E2E79">
          <w:pPr>
            <w:pStyle w:val="TOC4"/>
            <w:tabs>
              <w:tab w:val="right" w:pos="9350"/>
            </w:tabs>
            <w:rPr>
              <w:rFonts w:ascii="Avenir Black" w:eastAsiaTheme="minorEastAsia" w:hAnsi="Avenir Black" w:cstheme="minorBidi"/>
              <w:b/>
              <w:bCs/>
              <w:noProof/>
              <w:sz w:val="24"/>
              <w:szCs w:val="24"/>
            </w:rPr>
          </w:pPr>
          <w:hyperlink w:anchor="_Toc62730396" w:history="1">
            <w:r w:rsidR="00827A91" w:rsidRPr="00D067AE">
              <w:rPr>
                <w:rStyle w:val="Hyperlink"/>
                <w:rFonts w:ascii="Avenir Black" w:hAnsi="Avenir Black"/>
                <w:b/>
                <w:bCs/>
                <w:noProof/>
              </w:rPr>
              <w:t>Attorney Supervision</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_Toc62730396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54</w:t>
            </w:r>
            <w:r w:rsidR="00827A91" w:rsidRPr="00D067AE">
              <w:rPr>
                <w:rFonts w:ascii="Avenir Black" w:hAnsi="Avenir Black"/>
                <w:b/>
                <w:bCs/>
                <w:noProof/>
                <w:webHidden/>
              </w:rPr>
              <w:fldChar w:fldCharType="end"/>
            </w:r>
          </w:hyperlink>
        </w:p>
        <w:p w14:paraId="347CD882" w14:textId="14E38148" w:rsidR="00827A91" w:rsidRPr="00D067AE" w:rsidRDefault="000E2E79">
          <w:pPr>
            <w:pStyle w:val="TOC4"/>
            <w:tabs>
              <w:tab w:val="right" w:pos="9350"/>
            </w:tabs>
            <w:rPr>
              <w:rFonts w:ascii="Avenir Black" w:eastAsiaTheme="minorEastAsia" w:hAnsi="Avenir Black" w:cstheme="minorBidi"/>
              <w:b/>
              <w:bCs/>
              <w:noProof/>
              <w:sz w:val="24"/>
              <w:szCs w:val="24"/>
            </w:rPr>
          </w:pPr>
          <w:hyperlink w:anchor="_Toc62730397" w:history="1">
            <w:r w:rsidR="00827A91" w:rsidRPr="00D067AE">
              <w:rPr>
                <w:rStyle w:val="Hyperlink"/>
                <w:rFonts w:ascii="Avenir Black" w:hAnsi="Avenir Black"/>
                <w:b/>
                <w:bCs/>
                <w:noProof/>
              </w:rPr>
              <w:t>Structure of Client Representation</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_Toc62730397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56</w:t>
            </w:r>
            <w:r w:rsidR="00827A91" w:rsidRPr="00D067AE">
              <w:rPr>
                <w:rFonts w:ascii="Avenir Black" w:hAnsi="Avenir Black"/>
                <w:b/>
                <w:bCs/>
                <w:noProof/>
                <w:webHidden/>
              </w:rPr>
              <w:fldChar w:fldCharType="end"/>
            </w:r>
          </w:hyperlink>
        </w:p>
        <w:p w14:paraId="348AC3B3" w14:textId="62B8C938" w:rsidR="00827A91" w:rsidRPr="00D067AE" w:rsidRDefault="000E2E79">
          <w:pPr>
            <w:pStyle w:val="TOC4"/>
            <w:tabs>
              <w:tab w:val="right" w:pos="9350"/>
            </w:tabs>
            <w:rPr>
              <w:rFonts w:ascii="Avenir Black" w:eastAsiaTheme="minorEastAsia" w:hAnsi="Avenir Black" w:cstheme="minorBidi"/>
              <w:b/>
              <w:bCs/>
              <w:noProof/>
              <w:sz w:val="24"/>
              <w:szCs w:val="24"/>
            </w:rPr>
          </w:pPr>
          <w:hyperlink w:anchor="_Toc62730398" w:history="1">
            <w:r w:rsidR="00827A91" w:rsidRPr="00D067AE">
              <w:rPr>
                <w:rStyle w:val="Hyperlink"/>
                <w:rFonts w:ascii="Avenir Black" w:hAnsi="Avenir Black"/>
                <w:b/>
                <w:bCs/>
                <w:noProof/>
              </w:rPr>
              <w:t>Compliance with National Standards</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_Toc62730398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59</w:t>
            </w:r>
            <w:r w:rsidR="00827A91" w:rsidRPr="00D067AE">
              <w:rPr>
                <w:rFonts w:ascii="Avenir Black" w:hAnsi="Avenir Black"/>
                <w:b/>
                <w:bCs/>
                <w:noProof/>
                <w:webHidden/>
              </w:rPr>
              <w:fldChar w:fldCharType="end"/>
            </w:r>
          </w:hyperlink>
        </w:p>
        <w:p w14:paraId="4A828703" w14:textId="40AB2F66" w:rsidR="00827A91" w:rsidRPr="00D067AE" w:rsidRDefault="000E2E79">
          <w:pPr>
            <w:pStyle w:val="TOC4"/>
            <w:tabs>
              <w:tab w:val="right" w:pos="9350"/>
            </w:tabs>
            <w:rPr>
              <w:rFonts w:ascii="Avenir Black" w:eastAsiaTheme="minorEastAsia" w:hAnsi="Avenir Black" w:cstheme="minorBidi"/>
              <w:b/>
              <w:bCs/>
              <w:noProof/>
              <w:sz w:val="24"/>
              <w:szCs w:val="24"/>
            </w:rPr>
          </w:pPr>
          <w:hyperlink w:anchor="_Toc62730399" w:history="1">
            <w:r w:rsidR="00827A91" w:rsidRPr="00D067AE">
              <w:rPr>
                <w:rStyle w:val="Hyperlink"/>
                <w:rFonts w:ascii="Avenir Black" w:hAnsi="Avenir Black"/>
                <w:b/>
                <w:bCs/>
                <w:noProof/>
              </w:rPr>
              <w:t>Implementation and Monitoring</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_Toc62730399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61</w:t>
            </w:r>
            <w:r w:rsidR="00827A91" w:rsidRPr="00D067AE">
              <w:rPr>
                <w:rFonts w:ascii="Avenir Black" w:hAnsi="Avenir Black"/>
                <w:b/>
                <w:bCs/>
                <w:noProof/>
                <w:webHidden/>
              </w:rPr>
              <w:fldChar w:fldCharType="end"/>
            </w:r>
          </w:hyperlink>
        </w:p>
        <w:p w14:paraId="0C8267E4" w14:textId="353467AE" w:rsidR="00827A91" w:rsidRPr="00D067AE" w:rsidRDefault="000E2E79">
          <w:pPr>
            <w:pStyle w:val="TOC3"/>
            <w:tabs>
              <w:tab w:val="right" w:pos="9350"/>
            </w:tabs>
            <w:rPr>
              <w:rFonts w:ascii="Avenir Black" w:eastAsiaTheme="minorEastAsia" w:hAnsi="Avenir Black" w:cstheme="minorBidi"/>
              <w:b/>
              <w:bCs/>
              <w:noProof/>
              <w:sz w:val="24"/>
              <w:szCs w:val="24"/>
            </w:rPr>
          </w:pPr>
          <w:hyperlink w:anchor="_Toc62730400" w:history="1">
            <w:r w:rsidR="00827A91" w:rsidRPr="00D067AE">
              <w:rPr>
                <w:rStyle w:val="Hyperlink"/>
                <w:rFonts w:ascii="Avenir Black" w:hAnsi="Avenir Black"/>
                <w:b/>
                <w:bCs/>
                <w:noProof/>
              </w:rPr>
              <w:t>The Landscape in Montgomery County</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_Toc62730400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63</w:t>
            </w:r>
            <w:r w:rsidR="00827A91" w:rsidRPr="00D067AE">
              <w:rPr>
                <w:rFonts w:ascii="Avenir Black" w:hAnsi="Avenir Black"/>
                <w:b/>
                <w:bCs/>
                <w:noProof/>
                <w:webHidden/>
              </w:rPr>
              <w:fldChar w:fldCharType="end"/>
            </w:r>
          </w:hyperlink>
        </w:p>
        <w:p w14:paraId="01D85B97" w14:textId="2697BC75" w:rsidR="00827A91" w:rsidRPr="00D067AE" w:rsidRDefault="000E2E79">
          <w:pPr>
            <w:pStyle w:val="TOC3"/>
            <w:tabs>
              <w:tab w:val="right" w:pos="9350"/>
            </w:tabs>
            <w:rPr>
              <w:rFonts w:ascii="Avenir Black" w:eastAsiaTheme="minorEastAsia" w:hAnsi="Avenir Black" w:cstheme="minorBidi"/>
              <w:b/>
              <w:bCs/>
              <w:noProof/>
              <w:sz w:val="24"/>
              <w:szCs w:val="24"/>
            </w:rPr>
          </w:pPr>
          <w:hyperlink w:anchor="_Toc62730401" w:history="1">
            <w:r w:rsidR="00827A91" w:rsidRPr="00D067AE">
              <w:rPr>
                <w:rStyle w:val="Hyperlink"/>
                <w:rFonts w:ascii="Avenir Black" w:hAnsi="Avenir Black"/>
                <w:b/>
                <w:bCs/>
                <w:noProof/>
              </w:rPr>
              <w:t>Conclusion</w:t>
            </w:r>
            <w:r w:rsidR="00827A91" w:rsidRPr="00D067AE">
              <w:rPr>
                <w:rFonts w:ascii="Avenir Black" w:hAnsi="Avenir Black"/>
                <w:b/>
                <w:bCs/>
                <w:noProof/>
                <w:webHidden/>
              </w:rPr>
              <w:tab/>
            </w:r>
            <w:r w:rsidR="00827A91" w:rsidRPr="00D067AE">
              <w:rPr>
                <w:rFonts w:ascii="Avenir Black" w:hAnsi="Avenir Black"/>
                <w:b/>
                <w:bCs/>
                <w:noProof/>
                <w:webHidden/>
              </w:rPr>
              <w:fldChar w:fldCharType="begin"/>
            </w:r>
            <w:r w:rsidR="00827A91" w:rsidRPr="00D067AE">
              <w:rPr>
                <w:rFonts w:ascii="Avenir Black" w:hAnsi="Avenir Black"/>
                <w:b/>
                <w:bCs/>
                <w:noProof/>
                <w:webHidden/>
              </w:rPr>
              <w:instrText xml:space="preserve"> PAGEREF _Toc62730401 \h </w:instrText>
            </w:r>
            <w:r w:rsidR="00827A91" w:rsidRPr="00D067AE">
              <w:rPr>
                <w:rFonts w:ascii="Avenir Black" w:hAnsi="Avenir Black"/>
                <w:b/>
                <w:bCs/>
                <w:noProof/>
                <w:webHidden/>
              </w:rPr>
            </w:r>
            <w:r w:rsidR="00827A91" w:rsidRPr="00D067AE">
              <w:rPr>
                <w:rFonts w:ascii="Avenir Black" w:hAnsi="Avenir Black"/>
                <w:b/>
                <w:bCs/>
                <w:noProof/>
                <w:webHidden/>
              </w:rPr>
              <w:fldChar w:fldCharType="separate"/>
            </w:r>
            <w:r w:rsidR="00301978">
              <w:rPr>
                <w:rFonts w:ascii="Avenir Black" w:hAnsi="Avenir Black"/>
                <w:b/>
                <w:bCs/>
                <w:noProof/>
                <w:webHidden/>
              </w:rPr>
              <w:t>64</w:t>
            </w:r>
            <w:r w:rsidR="00827A91" w:rsidRPr="00D067AE">
              <w:rPr>
                <w:rFonts w:ascii="Avenir Black" w:hAnsi="Avenir Black"/>
                <w:b/>
                <w:bCs/>
                <w:noProof/>
                <w:webHidden/>
              </w:rPr>
              <w:fldChar w:fldCharType="end"/>
            </w:r>
          </w:hyperlink>
        </w:p>
        <w:p w14:paraId="643E6773" w14:textId="7B2490C7" w:rsidR="00827A91" w:rsidRPr="00D067AE" w:rsidRDefault="000E2E79" w:rsidP="006439E8">
          <w:pPr>
            <w:pStyle w:val="TOC1"/>
            <w:rPr>
              <w:rFonts w:eastAsiaTheme="minorEastAsia" w:cstheme="minorBidi"/>
              <w:sz w:val="24"/>
              <w:szCs w:val="24"/>
            </w:rPr>
          </w:pPr>
          <w:hyperlink w:anchor="_Toc62730402" w:history="1">
            <w:r w:rsidR="00827A91" w:rsidRPr="00D067AE">
              <w:rPr>
                <w:rStyle w:val="Hyperlink"/>
              </w:rPr>
              <w:t>RECOMMENDATIONS</w:t>
            </w:r>
            <w:r w:rsidR="00827A91" w:rsidRPr="00D067AE">
              <w:rPr>
                <w:webHidden/>
              </w:rPr>
              <w:tab/>
            </w:r>
            <w:r w:rsidR="00827A91" w:rsidRPr="00D067AE">
              <w:rPr>
                <w:webHidden/>
              </w:rPr>
              <w:fldChar w:fldCharType="begin"/>
            </w:r>
            <w:r w:rsidR="00827A91" w:rsidRPr="00D067AE">
              <w:rPr>
                <w:webHidden/>
              </w:rPr>
              <w:instrText xml:space="preserve"> PAGEREF _Toc62730402 \h </w:instrText>
            </w:r>
            <w:r w:rsidR="00827A91" w:rsidRPr="00D067AE">
              <w:rPr>
                <w:webHidden/>
              </w:rPr>
            </w:r>
            <w:r w:rsidR="00827A91" w:rsidRPr="00D067AE">
              <w:rPr>
                <w:webHidden/>
              </w:rPr>
              <w:fldChar w:fldCharType="separate"/>
            </w:r>
            <w:r w:rsidR="00301978">
              <w:rPr>
                <w:webHidden/>
              </w:rPr>
              <w:t>66</w:t>
            </w:r>
            <w:r w:rsidR="00827A91" w:rsidRPr="00D067AE">
              <w:rPr>
                <w:webHidden/>
              </w:rPr>
              <w:fldChar w:fldCharType="end"/>
            </w:r>
          </w:hyperlink>
        </w:p>
        <w:p w14:paraId="49139E71" w14:textId="4C4B148F" w:rsidR="00827A91" w:rsidRPr="00D067AE" w:rsidRDefault="000E2E79">
          <w:pPr>
            <w:pStyle w:val="TOC2"/>
            <w:tabs>
              <w:tab w:val="right" w:pos="9350"/>
            </w:tabs>
            <w:rPr>
              <w:rFonts w:ascii="Avenir Black" w:eastAsiaTheme="minorEastAsia" w:hAnsi="Avenir Black" w:cstheme="minorBidi"/>
              <w:b/>
              <w:bCs/>
              <w:i w:val="0"/>
              <w:iCs w:val="0"/>
              <w:noProof/>
              <w:sz w:val="24"/>
              <w:szCs w:val="24"/>
            </w:rPr>
          </w:pPr>
          <w:hyperlink w:anchor="_Toc62730403" w:history="1">
            <w:r w:rsidR="00827A91" w:rsidRPr="00D067AE">
              <w:rPr>
                <w:rStyle w:val="Hyperlink"/>
                <w:rFonts w:ascii="Avenir Black" w:hAnsi="Avenir Black"/>
                <w:b/>
                <w:bCs/>
                <w:i w:val="0"/>
                <w:iCs w:val="0"/>
                <w:noProof/>
              </w:rPr>
              <w:t>ENSURING INDEPENDENCE</w:t>
            </w:r>
            <w:r w:rsidR="00827A91" w:rsidRPr="00D067AE">
              <w:rPr>
                <w:rFonts w:ascii="Avenir Black" w:hAnsi="Avenir Black"/>
                <w:b/>
                <w:bCs/>
                <w:i w:val="0"/>
                <w:iCs w:val="0"/>
                <w:noProof/>
                <w:webHidden/>
              </w:rPr>
              <w:tab/>
            </w:r>
            <w:r w:rsidR="00827A91" w:rsidRPr="00D067AE">
              <w:rPr>
                <w:rFonts w:ascii="Avenir Black" w:hAnsi="Avenir Black"/>
                <w:b/>
                <w:bCs/>
                <w:i w:val="0"/>
                <w:iCs w:val="0"/>
                <w:noProof/>
                <w:webHidden/>
              </w:rPr>
              <w:fldChar w:fldCharType="begin"/>
            </w:r>
            <w:r w:rsidR="00827A91" w:rsidRPr="00D067AE">
              <w:rPr>
                <w:rFonts w:ascii="Avenir Black" w:hAnsi="Avenir Black"/>
                <w:b/>
                <w:bCs/>
                <w:i w:val="0"/>
                <w:iCs w:val="0"/>
                <w:noProof/>
                <w:webHidden/>
              </w:rPr>
              <w:instrText xml:space="preserve"> PAGEREF _Toc62730403 \h </w:instrText>
            </w:r>
            <w:r w:rsidR="00827A91" w:rsidRPr="00D067AE">
              <w:rPr>
                <w:rFonts w:ascii="Avenir Black" w:hAnsi="Avenir Black"/>
                <w:b/>
                <w:bCs/>
                <w:i w:val="0"/>
                <w:iCs w:val="0"/>
                <w:noProof/>
                <w:webHidden/>
              </w:rPr>
            </w:r>
            <w:r w:rsidR="00827A91" w:rsidRPr="00D067AE">
              <w:rPr>
                <w:rFonts w:ascii="Avenir Black" w:hAnsi="Avenir Black"/>
                <w:b/>
                <w:bCs/>
                <w:i w:val="0"/>
                <w:iCs w:val="0"/>
                <w:noProof/>
                <w:webHidden/>
              </w:rPr>
              <w:fldChar w:fldCharType="separate"/>
            </w:r>
            <w:r w:rsidR="00301978">
              <w:rPr>
                <w:rFonts w:ascii="Avenir Black" w:hAnsi="Avenir Black"/>
                <w:b/>
                <w:bCs/>
                <w:i w:val="0"/>
                <w:iCs w:val="0"/>
                <w:noProof/>
                <w:webHidden/>
              </w:rPr>
              <w:t>67</w:t>
            </w:r>
            <w:r w:rsidR="00827A91" w:rsidRPr="00D067AE">
              <w:rPr>
                <w:rFonts w:ascii="Avenir Black" w:hAnsi="Avenir Black"/>
                <w:b/>
                <w:bCs/>
                <w:i w:val="0"/>
                <w:iCs w:val="0"/>
                <w:noProof/>
                <w:webHidden/>
              </w:rPr>
              <w:fldChar w:fldCharType="end"/>
            </w:r>
          </w:hyperlink>
        </w:p>
        <w:p w14:paraId="10B2229B" w14:textId="393DD70F" w:rsidR="00827A91" w:rsidRPr="00D067AE" w:rsidRDefault="000E2E79">
          <w:pPr>
            <w:pStyle w:val="TOC2"/>
            <w:tabs>
              <w:tab w:val="right" w:pos="9350"/>
            </w:tabs>
            <w:rPr>
              <w:rFonts w:ascii="Avenir Black" w:eastAsiaTheme="minorEastAsia" w:hAnsi="Avenir Black" w:cstheme="minorBidi"/>
              <w:b/>
              <w:bCs/>
              <w:i w:val="0"/>
              <w:iCs w:val="0"/>
              <w:noProof/>
              <w:sz w:val="24"/>
              <w:szCs w:val="24"/>
            </w:rPr>
          </w:pPr>
          <w:hyperlink w:anchor="_Toc62730404" w:history="1">
            <w:r w:rsidR="00827A91" w:rsidRPr="00D067AE">
              <w:rPr>
                <w:rStyle w:val="Hyperlink"/>
                <w:rFonts w:ascii="Avenir Black" w:hAnsi="Avenir Black"/>
                <w:b/>
                <w:bCs/>
                <w:i w:val="0"/>
                <w:iCs w:val="0"/>
                <w:noProof/>
              </w:rPr>
              <w:t>FUNDING CONSIDERATIONS</w:t>
            </w:r>
            <w:r w:rsidR="00827A91" w:rsidRPr="00D067AE">
              <w:rPr>
                <w:rFonts w:ascii="Avenir Black" w:hAnsi="Avenir Black"/>
                <w:b/>
                <w:bCs/>
                <w:i w:val="0"/>
                <w:iCs w:val="0"/>
                <w:noProof/>
                <w:webHidden/>
              </w:rPr>
              <w:tab/>
            </w:r>
            <w:r w:rsidR="00827A91" w:rsidRPr="00D067AE">
              <w:rPr>
                <w:rFonts w:ascii="Avenir Black" w:hAnsi="Avenir Black"/>
                <w:b/>
                <w:bCs/>
                <w:i w:val="0"/>
                <w:iCs w:val="0"/>
                <w:noProof/>
                <w:webHidden/>
              </w:rPr>
              <w:fldChar w:fldCharType="begin"/>
            </w:r>
            <w:r w:rsidR="00827A91" w:rsidRPr="00D067AE">
              <w:rPr>
                <w:rFonts w:ascii="Avenir Black" w:hAnsi="Avenir Black"/>
                <w:b/>
                <w:bCs/>
                <w:i w:val="0"/>
                <w:iCs w:val="0"/>
                <w:noProof/>
                <w:webHidden/>
              </w:rPr>
              <w:instrText xml:space="preserve"> PAGEREF _Toc62730404 \h </w:instrText>
            </w:r>
            <w:r w:rsidR="00827A91" w:rsidRPr="00D067AE">
              <w:rPr>
                <w:rFonts w:ascii="Avenir Black" w:hAnsi="Avenir Black"/>
                <w:b/>
                <w:bCs/>
                <w:i w:val="0"/>
                <w:iCs w:val="0"/>
                <w:noProof/>
                <w:webHidden/>
              </w:rPr>
            </w:r>
            <w:r w:rsidR="00827A91" w:rsidRPr="00D067AE">
              <w:rPr>
                <w:rFonts w:ascii="Avenir Black" w:hAnsi="Avenir Black"/>
                <w:b/>
                <w:bCs/>
                <w:i w:val="0"/>
                <w:iCs w:val="0"/>
                <w:noProof/>
                <w:webHidden/>
              </w:rPr>
              <w:fldChar w:fldCharType="separate"/>
            </w:r>
            <w:r w:rsidR="00301978">
              <w:rPr>
                <w:rFonts w:ascii="Avenir Black" w:hAnsi="Avenir Black"/>
                <w:b/>
                <w:bCs/>
                <w:i w:val="0"/>
                <w:iCs w:val="0"/>
                <w:noProof/>
                <w:webHidden/>
              </w:rPr>
              <w:t>72</w:t>
            </w:r>
            <w:r w:rsidR="00827A91" w:rsidRPr="00D067AE">
              <w:rPr>
                <w:rFonts w:ascii="Avenir Black" w:hAnsi="Avenir Black"/>
                <w:b/>
                <w:bCs/>
                <w:i w:val="0"/>
                <w:iCs w:val="0"/>
                <w:noProof/>
                <w:webHidden/>
              </w:rPr>
              <w:fldChar w:fldCharType="end"/>
            </w:r>
          </w:hyperlink>
        </w:p>
        <w:p w14:paraId="1CE647B6" w14:textId="478FD7C5" w:rsidR="00827A91" w:rsidRPr="00D067AE" w:rsidRDefault="000E2E79">
          <w:pPr>
            <w:pStyle w:val="TOC2"/>
            <w:tabs>
              <w:tab w:val="right" w:pos="9350"/>
            </w:tabs>
            <w:rPr>
              <w:rFonts w:ascii="Avenir Black" w:eastAsiaTheme="minorEastAsia" w:hAnsi="Avenir Black" w:cstheme="minorBidi"/>
              <w:b/>
              <w:bCs/>
              <w:i w:val="0"/>
              <w:iCs w:val="0"/>
              <w:noProof/>
              <w:sz w:val="24"/>
              <w:szCs w:val="24"/>
            </w:rPr>
          </w:pPr>
          <w:hyperlink w:anchor="_Toc62730405" w:history="1">
            <w:r w:rsidR="00827A91" w:rsidRPr="00D067AE">
              <w:rPr>
                <w:rStyle w:val="Hyperlink"/>
                <w:rFonts w:ascii="Avenir Black" w:hAnsi="Avenir Black"/>
                <w:b/>
                <w:bCs/>
                <w:i w:val="0"/>
                <w:iCs w:val="0"/>
                <w:noProof/>
              </w:rPr>
              <w:t>LITIGATION AND RISK MITIGATION</w:t>
            </w:r>
            <w:r w:rsidR="00827A91" w:rsidRPr="00D067AE">
              <w:rPr>
                <w:rFonts w:ascii="Avenir Black" w:hAnsi="Avenir Black"/>
                <w:b/>
                <w:bCs/>
                <w:i w:val="0"/>
                <w:iCs w:val="0"/>
                <w:noProof/>
                <w:webHidden/>
              </w:rPr>
              <w:tab/>
            </w:r>
            <w:r w:rsidR="00827A91" w:rsidRPr="00D067AE">
              <w:rPr>
                <w:rFonts w:ascii="Avenir Black" w:hAnsi="Avenir Black"/>
                <w:b/>
                <w:bCs/>
                <w:i w:val="0"/>
                <w:iCs w:val="0"/>
                <w:noProof/>
                <w:webHidden/>
              </w:rPr>
              <w:fldChar w:fldCharType="begin"/>
            </w:r>
            <w:r w:rsidR="00827A91" w:rsidRPr="00D067AE">
              <w:rPr>
                <w:rFonts w:ascii="Avenir Black" w:hAnsi="Avenir Black"/>
                <w:b/>
                <w:bCs/>
                <w:i w:val="0"/>
                <w:iCs w:val="0"/>
                <w:noProof/>
                <w:webHidden/>
              </w:rPr>
              <w:instrText xml:space="preserve"> PAGEREF _Toc62730405 \h </w:instrText>
            </w:r>
            <w:r w:rsidR="00827A91" w:rsidRPr="00D067AE">
              <w:rPr>
                <w:rFonts w:ascii="Avenir Black" w:hAnsi="Avenir Black"/>
                <w:b/>
                <w:bCs/>
                <w:i w:val="0"/>
                <w:iCs w:val="0"/>
                <w:noProof/>
                <w:webHidden/>
              </w:rPr>
            </w:r>
            <w:r w:rsidR="00827A91" w:rsidRPr="00D067AE">
              <w:rPr>
                <w:rFonts w:ascii="Avenir Black" w:hAnsi="Avenir Black"/>
                <w:b/>
                <w:bCs/>
                <w:i w:val="0"/>
                <w:iCs w:val="0"/>
                <w:noProof/>
                <w:webHidden/>
              </w:rPr>
              <w:fldChar w:fldCharType="separate"/>
            </w:r>
            <w:r w:rsidR="00301978">
              <w:rPr>
                <w:rFonts w:ascii="Avenir Black" w:hAnsi="Avenir Black"/>
                <w:b/>
                <w:bCs/>
                <w:i w:val="0"/>
                <w:iCs w:val="0"/>
                <w:noProof/>
                <w:webHidden/>
              </w:rPr>
              <w:t>74</w:t>
            </w:r>
            <w:r w:rsidR="00827A91" w:rsidRPr="00D067AE">
              <w:rPr>
                <w:rFonts w:ascii="Avenir Black" w:hAnsi="Avenir Black"/>
                <w:b/>
                <w:bCs/>
                <w:i w:val="0"/>
                <w:iCs w:val="0"/>
                <w:noProof/>
                <w:webHidden/>
              </w:rPr>
              <w:fldChar w:fldCharType="end"/>
            </w:r>
          </w:hyperlink>
        </w:p>
        <w:p w14:paraId="4959DBD2" w14:textId="6D32219B" w:rsidR="00827A91" w:rsidRPr="00D067AE" w:rsidRDefault="000E2E79" w:rsidP="006439E8">
          <w:pPr>
            <w:pStyle w:val="TOC1"/>
            <w:rPr>
              <w:rFonts w:eastAsiaTheme="minorEastAsia" w:cstheme="minorBidi"/>
              <w:sz w:val="24"/>
              <w:szCs w:val="24"/>
            </w:rPr>
          </w:pPr>
          <w:hyperlink w:anchor="_Toc62730406" w:history="1">
            <w:r w:rsidR="00827A91" w:rsidRPr="00D067AE">
              <w:rPr>
                <w:rStyle w:val="Hyperlink"/>
              </w:rPr>
              <w:t>CONCLUSION</w:t>
            </w:r>
            <w:r w:rsidR="00827A91" w:rsidRPr="00D067AE">
              <w:rPr>
                <w:webHidden/>
              </w:rPr>
              <w:tab/>
            </w:r>
            <w:r w:rsidR="00827A91" w:rsidRPr="00D067AE">
              <w:rPr>
                <w:webHidden/>
              </w:rPr>
              <w:fldChar w:fldCharType="begin"/>
            </w:r>
            <w:r w:rsidR="00827A91" w:rsidRPr="00D067AE">
              <w:rPr>
                <w:webHidden/>
              </w:rPr>
              <w:instrText xml:space="preserve"> PAGEREF _Toc62730406 \h </w:instrText>
            </w:r>
            <w:r w:rsidR="00827A91" w:rsidRPr="00D067AE">
              <w:rPr>
                <w:webHidden/>
              </w:rPr>
            </w:r>
            <w:r w:rsidR="00827A91" w:rsidRPr="00D067AE">
              <w:rPr>
                <w:webHidden/>
              </w:rPr>
              <w:fldChar w:fldCharType="separate"/>
            </w:r>
            <w:r w:rsidR="00301978">
              <w:rPr>
                <w:webHidden/>
              </w:rPr>
              <w:t>79</w:t>
            </w:r>
            <w:r w:rsidR="00827A91" w:rsidRPr="00D067AE">
              <w:rPr>
                <w:webHidden/>
              </w:rPr>
              <w:fldChar w:fldCharType="end"/>
            </w:r>
          </w:hyperlink>
        </w:p>
        <w:p w14:paraId="1752E4CD" w14:textId="7C9D70C3" w:rsidR="00827A91" w:rsidRPr="00D067AE" w:rsidRDefault="000E2E79" w:rsidP="006439E8">
          <w:pPr>
            <w:pStyle w:val="TOC1"/>
            <w:rPr>
              <w:rFonts w:eastAsiaTheme="minorEastAsia" w:cstheme="minorBidi"/>
              <w:sz w:val="24"/>
              <w:szCs w:val="24"/>
            </w:rPr>
          </w:pPr>
          <w:hyperlink w:anchor="_Toc62730407" w:history="1">
            <w:r w:rsidR="00827A91" w:rsidRPr="00D067AE">
              <w:rPr>
                <w:rStyle w:val="Hyperlink"/>
              </w:rPr>
              <w:t>APPENDICES</w:t>
            </w:r>
            <w:r w:rsidR="00827A91" w:rsidRPr="00D067AE">
              <w:rPr>
                <w:webHidden/>
              </w:rPr>
              <w:tab/>
            </w:r>
            <w:r w:rsidR="00827A91" w:rsidRPr="00D067AE">
              <w:rPr>
                <w:webHidden/>
              </w:rPr>
              <w:fldChar w:fldCharType="begin"/>
            </w:r>
            <w:r w:rsidR="00827A91" w:rsidRPr="00D067AE">
              <w:rPr>
                <w:webHidden/>
              </w:rPr>
              <w:instrText xml:space="preserve"> PAGEREF _Toc62730407 \h </w:instrText>
            </w:r>
            <w:r w:rsidR="00827A91" w:rsidRPr="00D067AE">
              <w:rPr>
                <w:webHidden/>
              </w:rPr>
            </w:r>
            <w:r w:rsidR="00827A91" w:rsidRPr="00D067AE">
              <w:rPr>
                <w:webHidden/>
              </w:rPr>
              <w:fldChar w:fldCharType="separate"/>
            </w:r>
            <w:r w:rsidR="00301978">
              <w:rPr>
                <w:webHidden/>
              </w:rPr>
              <w:t>82</w:t>
            </w:r>
            <w:r w:rsidR="00827A91" w:rsidRPr="00D067AE">
              <w:rPr>
                <w:webHidden/>
              </w:rPr>
              <w:fldChar w:fldCharType="end"/>
            </w:r>
          </w:hyperlink>
        </w:p>
        <w:p w14:paraId="053DE44C" w14:textId="27AE6DEE" w:rsidR="003720F4" w:rsidRDefault="00D2451D">
          <w:r w:rsidRPr="00D067AE">
            <w:rPr>
              <w:rFonts w:ascii="Avenir Black" w:hAnsi="Avenir Black"/>
              <w:b/>
              <w:bCs/>
            </w:rPr>
            <w:fldChar w:fldCharType="end"/>
          </w:r>
        </w:p>
      </w:sdtContent>
    </w:sdt>
    <w:p w14:paraId="326BEDC9" w14:textId="77777777" w:rsidR="003720F4" w:rsidRDefault="003720F4">
      <w:pPr>
        <w:spacing w:line="480" w:lineRule="auto"/>
        <w:rPr>
          <w:b/>
          <w:u w:val="single"/>
        </w:rPr>
      </w:pPr>
    </w:p>
    <w:p w14:paraId="718DF801" w14:textId="77777777" w:rsidR="003720F4" w:rsidRDefault="003720F4">
      <w:pPr>
        <w:spacing w:line="480" w:lineRule="auto"/>
        <w:rPr>
          <w:b/>
          <w:u w:val="single"/>
        </w:rPr>
      </w:pPr>
    </w:p>
    <w:p w14:paraId="6E704335" w14:textId="77777777" w:rsidR="003720F4" w:rsidRDefault="003720F4">
      <w:pPr>
        <w:spacing w:line="480" w:lineRule="auto"/>
        <w:rPr>
          <w:b/>
          <w:u w:val="single"/>
        </w:rPr>
      </w:pPr>
    </w:p>
    <w:p w14:paraId="63CF4A67" w14:textId="77777777" w:rsidR="003720F4" w:rsidRDefault="003720F4">
      <w:pPr>
        <w:spacing w:line="480" w:lineRule="auto"/>
        <w:rPr>
          <w:b/>
          <w:u w:val="single"/>
        </w:rPr>
        <w:sectPr w:rsidR="003720F4">
          <w:headerReference w:type="default" r:id="rId16"/>
          <w:footerReference w:type="default" r:id="rId17"/>
          <w:endnotePr>
            <w:numFmt w:val="decimal"/>
          </w:endnotePr>
          <w:pgSz w:w="12240" w:h="15840"/>
          <w:pgMar w:top="1440" w:right="1440" w:bottom="1440" w:left="1440" w:header="720" w:footer="720" w:gutter="0"/>
          <w:pgNumType w:start="1"/>
          <w:cols w:space="720"/>
        </w:sectPr>
      </w:pPr>
    </w:p>
    <w:p w14:paraId="61BE5BFC" w14:textId="4FBEA28D" w:rsidR="00E475AC" w:rsidRPr="00E475AC" w:rsidRDefault="000E2E79" w:rsidP="00E475AC">
      <w:pPr>
        <w:pStyle w:val="Heading"/>
        <w:spacing w:after="360"/>
      </w:pPr>
      <w:bookmarkStart w:id="2" w:name="_Toc62730357"/>
      <w:r>
        <w:rPr>
          <w:noProof/>
          <w:sz w:val="10"/>
          <w:szCs w:val="10"/>
        </w:rPr>
        <w:lastRenderedPageBreak/>
        <w:pict w14:anchorId="46119477">
          <v:rect id="_x0000_i1052" alt="" style="width:468pt;height:.05pt;mso-width-percent:0;mso-height-percent:0;mso-width-percent:0;mso-height-percent:0" o:hralign="center" o:hrstd="t" o:hr="t" fillcolor="#a0a0a0" stroked="f"/>
        </w:pict>
      </w:r>
      <w:r w:rsidR="00D2451D" w:rsidRPr="00E475AC">
        <w:t>INTRODUCTION</w:t>
      </w:r>
      <w:bookmarkEnd w:id="2"/>
      <w:r>
        <w:rPr>
          <w:noProof/>
          <w:sz w:val="10"/>
          <w:szCs w:val="10"/>
        </w:rPr>
        <w:pict w14:anchorId="774611B4">
          <v:rect id="_x0000_i1051" alt="" style="width:468pt;height:.05pt;mso-width-percent:0;mso-height-percent:0;mso-width-percent:0;mso-height-percent:0" o:hralign="center" o:hrstd="t" o:hr="t" fillcolor="#a0a0a0" stroked="f"/>
        </w:pict>
      </w:r>
    </w:p>
    <w:p w14:paraId="65FBB98D" w14:textId="4ABA2230" w:rsidR="00E478EE" w:rsidRPr="00E475AC" w:rsidRDefault="00E478EE" w:rsidP="00E475AC">
      <w:pPr>
        <w:pStyle w:val="FirstSentencePops"/>
        <w:rPr>
          <w:rFonts w:ascii="Avenir Book" w:hAnsi="Avenir Book"/>
          <w:color w:val="000000" w:themeColor="text1"/>
        </w:rPr>
      </w:pPr>
      <w:r w:rsidRPr="00E475AC">
        <w:t>Public Defenders are core to the guarantee of equal justice</w:t>
      </w:r>
      <w:r w:rsidR="00A4356F" w:rsidRPr="00E475AC">
        <w:t>.</w:t>
      </w:r>
      <w:r w:rsidR="00A4356F" w:rsidRPr="00E475AC">
        <w:rPr>
          <w:rFonts w:ascii="Avenir Book" w:hAnsi="Avenir Book"/>
        </w:rPr>
        <w:t xml:space="preserve"> </w:t>
      </w:r>
      <w:r w:rsidR="00A4356F" w:rsidRPr="00E475AC">
        <w:rPr>
          <w:rFonts w:ascii="Avenir Book" w:hAnsi="Avenir Book"/>
          <w:color w:val="000000" w:themeColor="text1"/>
        </w:rPr>
        <w:t>T</w:t>
      </w:r>
      <w:r w:rsidRPr="00E475AC">
        <w:rPr>
          <w:rFonts w:ascii="Avenir Book" w:hAnsi="Avenir Book"/>
          <w:color w:val="000000" w:themeColor="text1"/>
        </w:rPr>
        <w:t xml:space="preserve">hey are one of the few voices in </w:t>
      </w:r>
      <w:r w:rsidR="00E2368D" w:rsidRPr="00E475AC">
        <w:rPr>
          <w:rFonts w:ascii="Avenir Book" w:hAnsi="Avenir Book"/>
          <w:color w:val="000000" w:themeColor="text1"/>
        </w:rPr>
        <w:t>g</w:t>
      </w:r>
      <w:r w:rsidRPr="00E475AC">
        <w:rPr>
          <w:rFonts w:ascii="Avenir Book" w:hAnsi="Avenir Book"/>
          <w:color w:val="000000" w:themeColor="text1"/>
        </w:rPr>
        <w:t>overnment that directly advocate for those most in need and most disadvantaged; they strive to ensure that the law will be adhered to and criminal justice reforms will reflect the needs of</w:t>
      </w:r>
      <w:r w:rsidR="00E2368D" w:rsidRPr="00E475AC">
        <w:rPr>
          <w:rFonts w:ascii="Avenir Book" w:hAnsi="Avenir Book"/>
          <w:color w:val="000000" w:themeColor="text1"/>
        </w:rPr>
        <w:t>,</w:t>
      </w:r>
      <w:r w:rsidRPr="00E475AC">
        <w:rPr>
          <w:rFonts w:ascii="Avenir Book" w:hAnsi="Avenir Book"/>
          <w:color w:val="000000" w:themeColor="text1"/>
        </w:rPr>
        <w:t xml:space="preserve"> and be responsive to</w:t>
      </w:r>
      <w:r w:rsidR="00E2368D" w:rsidRPr="00E475AC">
        <w:rPr>
          <w:rFonts w:ascii="Avenir Book" w:hAnsi="Avenir Book"/>
          <w:color w:val="000000" w:themeColor="text1"/>
        </w:rPr>
        <w:t>,</w:t>
      </w:r>
      <w:r w:rsidRPr="00E475AC">
        <w:rPr>
          <w:rFonts w:ascii="Avenir Book" w:hAnsi="Avenir Book"/>
          <w:color w:val="000000" w:themeColor="text1"/>
        </w:rPr>
        <w:t xml:space="preserve"> the broader community; and they fulfill the </w:t>
      </w:r>
      <w:r w:rsidR="00A4356F" w:rsidRPr="00E475AC">
        <w:rPr>
          <w:rFonts w:ascii="Avenir Book" w:hAnsi="Avenir Book"/>
          <w:color w:val="000000" w:themeColor="text1"/>
        </w:rPr>
        <w:t xml:space="preserve">Constitution’s </w:t>
      </w:r>
      <w:r w:rsidRPr="00E475AC">
        <w:rPr>
          <w:rFonts w:ascii="Avenir Book" w:hAnsi="Avenir Book"/>
          <w:color w:val="000000" w:themeColor="text1"/>
        </w:rPr>
        <w:t xml:space="preserve">mandate of the </w:t>
      </w:r>
      <w:r w:rsidR="00A4356F" w:rsidRPr="00E475AC">
        <w:rPr>
          <w:rFonts w:ascii="Avenir Book" w:hAnsi="Avenir Book"/>
          <w:color w:val="000000" w:themeColor="text1"/>
        </w:rPr>
        <w:t>right to counsel</w:t>
      </w:r>
      <w:r w:rsidRPr="00E475AC">
        <w:rPr>
          <w:rFonts w:ascii="Avenir Book" w:hAnsi="Avenir Book"/>
          <w:color w:val="000000" w:themeColor="text1"/>
        </w:rPr>
        <w:t>.</w:t>
      </w:r>
    </w:p>
    <w:p w14:paraId="6E3A0923" w14:textId="495410CC" w:rsidR="00E16F08" w:rsidRPr="00E475AC" w:rsidRDefault="00E16F08" w:rsidP="00E475AC">
      <w:pPr>
        <w:spacing w:line="360" w:lineRule="auto"/>
        <w:ind w:firstLine="720"/>
        <w:jc w:val="both"/>
        <w:rPr>
          <w:rFonts w:ascii="Avenir Book" w:hAnsi="Avenir Book"/>
          <w:color w:val="000000" w:themeColor="text1"/>
        </w:rPr>
      </w:pPr>
      <w:r w:rsidRPr="00E475AC">
        <w:rPr>
          <w:rFonts w:ascii="Avenir Book" w:hAnsi="Avenir Book"/>
          <w:color w:val="000000" w:themeColor="text1"/>
        </w:rPr>
        <w:t xml:space="preserve">Public defenders nationwide constantly strive to provide competent, quality, and zealous representation to all indigent clients. Montgomery County is no exception. In recent years, the Montgomery County Office of the Public Defender has made numerous improvements to better serve Montgomery County’s indigent community. For example, with the support of the </w:t>
      </w:r>
      <w:r w:rsidR="00D430C3">
        <w:rPr>
          <w:rFonts w:ascii="Avenir Book" w:hAnsi="Avenir Book"/>
          <w:color w:val="000000" w:themeColor="text1"/>
        </w:rPr>
        <w:t xml:space="preserve">County </w:t>
      </w:r>
      <w:r w:rsidRPr="00E475AC">
        <w:rPr>
          <w:rFonts w:ascii="Avenir Book" w:hAnsi="Avenir Book"/>
          <w:color w:val="000000" w:themeColor="text1"/>
        </w:rPr>
        <w:t>Commission, it has doubled its funding across the ten most recent budget cycles; added vital positions to the staff, including a Chief of Mental Health and of Pre-Trial Services; diversified services for its clients by adding a Social Services Unit; and increased the variety and amount of training that it offers to staff.</w:t>
      </w:r>
    </w:p>
    <w:p w14:paraId="76F3015B" w14:textId="36AFACD7" w:rsidR="000F6C1C" w:rsidRPr="00E475AC" w:rsidRDefault="00BF1A62" w:rsidP="00E475AC">
      <w:pPr>
        <w:spacing w:line="360" w:lineRule="auto"/>
        <w:ind w:firstLine="720"/>
        <w:jc w:val="both"/>
        <w:rPr>
          <w:rFonts w:ascii="Avenir Book" w:hAnsi="Avenir Book"/>
          <w:color w:val="000000" w:themeColor="text1"/>
        </w:rPr>
        <w:sectPr w:rsidR="000F6C1C" w:rsidRPr="00E475AC" w:rsidSect="00E475AC">
          <w:headerReference w:type="default" r:id="rId18"/>
          <w:footerReference w:type="default" r:id="rId19"/>
          <w:endnotePr>
            <w:numFmt w:val="decimal"/>
          </w:endnotePr>
          <w:pgSz w:w="12240" w:h="15840"/>
          <w:pgMar w:top="1179" w:right="1440" w:bottom="1440" w:left="1440" w:header="720" w:footer="720" w:gutter="0"/>
          <w:cols w:space="720"/>
        </w:sectPr>
      </w:pPr>
      <w:r w:rsidRPr="00E475AC">
        <w:rPr>
          <w:rFonts w:ascii="Avenir Book" w:hAnsi="Avenir Book"/>
          <w:color w:val="000000" w:themeColor="text1"/>
        </w:rPr>
        <w:t xml:space="preserve">The March 2020 dismissal of the Defender Office leadership brought to the fore issues of how to best continue this progress, improve indigent defense representation, </w:t>
      </w:r>
      <w:r w:rsidR="00657421" w:rsidRPr="00E475AC">
        <w:rPr>
          <w:rFonts w:ascii="Avenir Book" w:hAnsi="Avenir Book"/>
          <w:color w:val="000000" w:themeColor="text1"/>
        </w:rPr>
        <w:t>limit the potential for</w:t>
      </w:r>
      <w:r w:rsidRPr="00E475AC">
        <w:rPr>
          <w:rFonts w:ascii="Avenir Book" w:hAnsi="Avenir Book"/>
          <w:color w:val="000000" w:themeColor="text1"/>
        </w:rPr>
        <w:t xml:space="preserve"> political interference </w:t>
      </w:r>
      <w:r w:rsidR="001F4045" w:rsidRPr="00E475AC">
        <w:rPr>
          <w:rFonts w:ascii="Avenir Book" w:hAnsi="Avenir Book"/>
          <w:color w:val="000000" w:themeColor="text1"/>
        </w:rPr>
        <w:t xml:space="preserve">or </w:t>
      </w:r>
      <w:r w:rsidR="00657421" w:rsidRPr="00E475AC">
        <w:rPr>
          <w:rFonts w:ascii="Avenir Book" w:hAnsi="Avenir Book"/>
          <w:color w:val="000000" w:themeColor="text1"/>
        </w:rPr>
        <w:t>its appearance</w:t>
      </w:r>
      <w:r w:rsidR="001F4045" w:rsidRPr="00E475AC">
        <w:rPr>
          <w:rFonts w:ascii="Avenir Book" w:hAnsi="Avenir Book"/>
          <w:color w:val="000000" w:themeColor="text1"/>
        </w:rPr>
        <w:t xml:space="preserve">, </w:t>
      </w:r>
      <w:r w:rsidRPr="00E475AC">
        <w:rPr>
          <w:rFonts w:ascii="Avenir Book" w:hAnsi="Avenir Book"/>
          <w:color w:val="000000" w:themeColor="text1"/>
        </w:rPr>
        <w:t xml:space="preserve">and ensure that the County </w:t>
      </w:r>
      <w:r w:rsidR="00657421" w:rsidRPr="00E475AC">
        <w:rPr>
          <w:rFonts w:ascii="Avenir Book" w:hAnsi="Avenir Book"/>
          <w:color w:val="000000" w:themeColor="text1"/>
        </w:rPr>
        <w:t>is not at</w:t>
      </w:r>
      <w:r w:rsidRPr="00E475AC">
        <w:rPr>
          <w:rFonts w:ascii="Avenir Book" w:hAnsi="Avenir Book"/>
          <w:color w:val="000000" w:themeColor="text1"/>
        </w:rPr>
        <w:t xml:space="preserve"> risk </w:t>
      </w:r>
      <w:r w:rsidR="00657421" w:rsidRPr="00E475AC">
        <w:rPr>
          <w:rFonts w:ascii="Avenir Book" w:hAnsi="Avenir Book"/>
          <w:color w:val="000000" w:themeColor="text1"/>
        </w:rPr>
        <w:t>of legal</w:t>
      </w:r>
      <w:r w:rsidRPr="00E475AC">
        <w:rPr>
          <w:rFonts w:ascii="Avenir Book" w:hAnsi="Avenir Book"/>
          <w:color w:val="000000" w:themeColor="text1"/>
        </w:rPr>
        <w:t xml:space="preserve"> challenges based on the adequacy of the provision of indigent representation or the manner in which the Office operates. This Report is intended to address an</w:t>
      </w:r>
      <w:r w:rsidR="00657421" w:rsidRPr="00E475AC">
        <w:rPr>
          <w:rFonts w:ascii="Avenir Book" w:hAnsi="Avenir Book"/>
          <w:color w:val="000000" w:themeColor="text1"/>
        </w:rPr>
        <w:t>d</w:t>
      </w:r>
      <w:r w:rsidRPr="00E475AC">
        <w:rPr>
          <w:rFonts w:ascii="Avenir Book" w:hAnsi="Avenir Book"/>
          <w:color w:val="000000" w:themeColor="text1"/>
        </w:rPr>
        <w:t xml:space="preserve"> provide solutions for each of these concerns.</w:t>
      </w:r>
    </w:p>
    <w:p w14:paraId="6FD2E64C" w14:textId="0D42BAD6" w:rsidR="000F6C1C" w:rsidRDefault="000E2E79" w:rsidP="00E475AC">
      <w:pPr>
        <w:pStyle w:val="Heading"/>
        <w:spacing w:after="360"/>
      </w:pPr>
      <w:bookmarkStart w:id="3" w:name="_Toc62730358"/>
      <w:r>
        <w:rPr>
          <w:noProof/>
          <w:sz w:val="10"/>
          <w:szCs w:val="10"/>
        </w:rPr>
        <w:lastRenderedPageBreak/>
        <w:pict w14:anchorId="6D723C80">
          <v:rect id="_x0000_i1050" alt="" style="width:468pt;height:.05pt;mso-width-percent:0;mso-height-percent:0;mso-width-percent:0;mso-height-percent:0" o:hralign="center" o:hrstd="t" o:hr="t" fillcolor="#a0a0a0" stroked="f"/>
        </w:pict>
      </w:r>
      <w:r w:rsidR="000F6C1C" w:rsidRPr="00E475AC">
        <w:rPr>
          <w:color w:val="91211B"/>
        </w:rPr>
        <w:t>EXECUTIVE</w:t>
      </w:r>
      <w:r w:rsidR="000F6C1C" w:rsidRPr="00E475AC">
        <w:t xml:space="preserve"> SUMMARY</w:t>
      </w:r>
      <w:bookmarkEnd w:id="3"/>
      <w:r>
        <w:rPr>
          <w:noProof/>
          <w:sz w:val="10"/>
          <w:szCs w:val="10"/>
        </w:rPr>
        <w:pict w14:anchorId="13A73C07">
          <v:rect id="_x0000_i1049" alt="" style="width:468pt;height:.05pt;mso-width-percent:0;mso-height-percent:0;mso-width-percent:0;mso-height-percent:0" o:hralign="center" o:hrstd="t" o:hr="t" fillcolor="#a0a0a0" stroked="f"/>
        </w:pict>
      </w:r>
    </w:p>
    <w:p w14:paraId="08D9F63C" w14:textId="77777777" w:rsidR="00E07C7E" w:rsidRPr="00DD1030" w:rsidRDefault="00E07C7E" w:rsidP="00DD1030">
      <w:pPr>
        <w:spacing w:line="360" w:lineRule="auto"/>
        <w:ind w:firstLine="720"/>
        <w:jc w:val="both"/>
        <w:rPr>
          <w:rFonts w:ascii="Avenir Book" w:hAnsi="Avenir Book"/>
        </w:rPr>
      </w:pPr>
      <w:r w:rsidRPr="00DD1030">
        <w:rPr>
          <w:rFonts w:ascii="Avenir Book" w:hAnsi="Avenir Book"/>
        </w:rPr>
        <w:t xml:space="preserve">The purpose of this Report is to provide the Montgomery County Board of Commissioners with recommendations on how it can continue to develop and improve best practices for the governance and operation of its Office of the Public Defender. Following from this </w:t>
      </w:r>
      <w:r w:rsidR="001D6414" w:rsidRPr="00DD1030">
        <w:rPr>
          <w:rFonts w:ascii="Avenir Book" w:hAnsi="Avenir Book"/>
        </w:rPr>
        <w:t>directive</w:t>
      </w:r>
      <w:r w:rsidRPr="00DD1030">
        <w:rPr>
          <w:rFonts w:ascii="Avenir Book" w:hAnsi="Avenir Book"/>
        </w:rPr>
        <w:t xml:space="preserve">, this Report focuses on the areas where the operation of the Office of the Public Defender intersects with </w:t>
      </w:r>
      <w:r w:rsidR="00E06BA8" w:rsidRPr="00DD1030">
        <w:rPr>
          <w:rFonts w:ascii="Avenir Book" w:hAnsi="Avenir Book"/>
        </w:rPr>
        <w:t xml:space="preserve">the </w:t>
      </w:r>
      <w:r w:rsidRPr="00DD1030">
        <w:rPr>
          <w:rFonts w:ascii="Avenir Book" w:hAnsi="Avenir Book"/>
        </w:rPr>
        <w:t xml:space="preserve">duties and practices of the Board of Commissioners, pursuant to the </w:t>
      </w:r>
      <w:r w:rsidR="00FC2736" w:rsidRPr="00DD1030">
        <w:rPr>
          <w:rFonts w:ascii="Avenir Book" w:hAnsi="Avenir Book"/>
        </w:rPr>
        <w:t>Commission’s</w:t>
      </w:r>
      <w:r w:rsidRPr="00DD1030">
        <w:rPr>
          <w:rFonts w:ascii="Avenir Book" w:hAnsi="Avenir Book"/>
        </w:rPr>
        <w:t xml:space="preserve"> statutory and legal responsibilities</w:t>
      </w:r>
      <w:r w:rsidR="00E06BA8" w:rsidRPr="00DD1030">
        <w:rPr>
          <w:rFonts w:ascii="Avenir Book" w:hAnsi="Avenir Book"/>
        </w:rPr>
        <w:t>.</w:t>
      </w:r>
    </w:p>
    <w:p w14:paraId="2CC822C1" w14:textId="5F6FC70B" w:rsidR="00E06BA8" w:rsidRPr="00DD1030" w:rsidRDefault="00E06BA8" w:rsidP="009312EE">
      <w:pPr>
        <w:pStyle w:val="NormalText"/>
      </w:pPr>
      <w:r w:rsidRPr="009312EE">
        <w:t xml:space="preserve">Currently, the </w:t>
      </w:r>
      <w:r w:rsidR="00FC2736" w:rsidRPr="009312EE">
        <w:t>Commission’s</w:t>
      </w:r>
      <w:r w:rsidRPr="009312EE">
        <w:t xml:space="preserve"> duties and responsibilities are linked to the work of the Office of the Public Defender in four </w:t>
      </w:r>
      <w:r w:rsidR="00FC2736" w:rsidRPr="009312EE">
        <w:t>distinct ways: (1) the</w:t>
      </w:r>
      <w:r w:rsidR="00FC2736" w:rsidRPr="00DD1030">
        <w:rPr>
          <w:color w:val="000000" w:themeColor="text1"/>
        </w:rPr>
        <w:t xml:space="preserve"> Commission has a statutory responsibility to hire (and </w:t>
      </w:r>
      <w:r w:rsidR="009402C1" w:rsidRPr="00DD1030">
        <w:rPr>
          <w:color w:val="000000" w:themeColor="text1"/>
        </w:rPr>
        <w:t>dismiss, where appropriate</w:t>
      </w:r>
      <w:r w:rsidR="00FC2736" w:rsidRPr="00DD1030">
        <w:rPr>
          <w:color w:val="000000" w:themeColor="text1"/>
        </w:rPr>
        <w:t xml:space="preserve">) the Chief Public Defender; (2) </w:t>
      </w:r>
      <w:r w:rsidR="004F3CDB" w:rsidRPr="00DD1030">
        <w:rPr>
          <w:color w:val="000000" w:themeColor="text1"/>
        </w:rPr>
        <w:t xml:space="preserve">the Commission has been used as a vehicle through </w:t>
      </w:r>
      <w:r w:rsidR="00D507A7" w:rsidRPr="00DD1030">
        <w:rPr>
          <w:color w:val="000000" w:themeColor="text1"/>
        </w:rPr>
        <w:t xml:space="preserve">which </w:t>
      </w:r>
      <w:r w:rsidR="004F3CDB" w:rsidRPr="00DD1030">
        <w:rPr>
          <w:color w:val="000000" w:themeColor="text1"/>
        </w:rPr>
        <w:t xml:space="preserve">internal and external criticisms regarding the Office are raised and addressed; (3) </w:t>
      </w:r>
      <w:r w:rsidR="00FC2736" w:rsidRPr="00DD1030">
        <w:rPr>
          <w:color w:val="000000" w:themeColor="text1"/>
        </w:rPr>
        <w:t>the Commission is responsible for reviewing and app</w:t>
      </w:r>
      <w:r w:rsidR="00BE0AD5" w:rsidRPr="00DD1030">
        <w:rPr>
          <w:color w:val="000000" w:themeColor="text1"/>
        </w:rPr>
        <w:t>roving the Office</w:t>
      </w:r>
      <w:r w:rsidR="00FC2736" w:rsidRPr="00DD1030">
        <w:rPr>
          <w:color w:val="000000" w:themeColor="text1"/>
        </w:rPr>
        <w:t xml:space="preserve">’s annual budget; </w:t>
      </w:r>
      <w:r w:rsidR="004F3CDB" w:rsidRPr="00DD1030">
        <w:rPr>
          <w:color w:val="000000" w:themeColor="text1"/>
        </w:rPr>
        <w:t xml:space="preserve">and </w:t>
      </w:r>
      <w:r w:rsidR="00FC2736" w:rsidRPr="00DD1030">
        <w:rPr>
          <w:color w:val="000000" w:themeColor="text1"/>
        </w:rPr>
        <w:t>(</w:t>
      </w:r>
      <w:r w:rsidR="004F3CDB" w:rsidRPr="00DD1030">
        <w:rPr>
          <w:color w:val="000000" w:themeColor="text1"/>
        </w:rPr>
        <w:t>4</w:t>
      </w:r>
      <w:r w:rsidR="00FC2736" w:rsidRPr="00DD1030">
        <w:rPr>
          <w:color w:val="000000" w:themeColor="text1"/>
        </w:rPr>
        <w:t>) t</w:t>
      </w:r>
      <w:r w:rsidRPr="00DD1030">
        <w:rPr>
          <w:color w:val="000000" w:themeColor="text1"/>
        </w:rPr>
        <w:t xml:space="preserve">he </w:t>
      </w:r>
      <w:r w:rsidR="00FC2736" w:rsidRPr="00DD1030">
        <w:rPr>
          <w:color w:val="000000" w:themeColor="text1"/>
        </w:rPr>
        <w:t>Commission</w:t>
      </w:r>
      <w:r w:rsidRPr="00DD1030">
        <w:rPr>
          <w:color w:val="000000" w:themeColor="text1"/>
        </w:rPr>
        <w:t xml:space="preserve">, as the executive of Montgomery County, </w:t>
      </w:r>
      <w:r w:rsidR="00FC2736" w:rsidRPr="00DD1030">
        <w:rPr>
          <w:color w:val="000000" w:themeColor="text1"/>
        </w:rPr>
        <w:t>is potentially liable for any lawsuit that may be brought against the Office</w:t>
      </w:r>
      <w:r w:rsidR="00BE0AD5" w:rsidRPr="00DD1030">
        <w:rPr>
          <w:color w:val="000000" w:themeColor="text1"/>
        </w:rPr>
        <w:t>.</w:t>
      </w:r>
    </w:p>
    <w:p w14:paraId="14EA207B" w14:textId="285C1655" w:rsidR="00B535B2" w:rsidRPr="00DD1030" w:rsidRDefault="00B535B2" w:rsidP="00DD1030">
      <w:pPr>
        <w:spacing w:line="360" w:lineRule="auto"/>
        <w:ind w:firstLine="720"/>
        <w:jc w:val="both"/>
        <w:rPr>
          <w:rFonts w:ascii="Avenir Book" w:hAnsi="Avenir Book"/>
        </w:rPr>
      </w:pPr>
      <w:r w:rsidRPr="00DD1030">
        <w:rPr>
          <w:rFonts w:ascii="Avenir Book" w:hAnsi="Avenir Book"/>
        </w:rPr>
        <w:t xml:space="preserve">Each of these points of intersection </w:t>
      </w:r>
      <w:r w:rsidR="000333CB" w:rsidRPr="00DD1030">
        <w:rPr>
          <w:rFonts w:ascii="Avenir Book" w:hAnsi="Avenir Book"/>
        </w:rPr>
        <w:t>provides</w:t>
      </w:r>
      <w:r w:rsidRPr="00DD1030">
        <w:rPr>
          <w:rFonts w:ascii="Avenir Book" w:hAnsi="Avenir Book"/>
        </w:rPr>
        <w:t xml:space="preserve"> an opportunity to contemplate adjustments to current practices </w:t>
      </w:r>
      <w:r w:rsidR="00267A4E" w:rsidRPr="00DD1030">
        <w:rPr>
          <w:rFonts w:ascii="Avenir Book" w:hAnsi="Avenir Book"/>
        </w:rPr>
        <w:t>that</w:t>
      </w:r>
      <w:r w:rsidRPr="00DD1030">
        <w:rPr>
          <w:rFonts w:ascii="Avenir Book" w:hAnsi="Avenir Book"/>
        </w:rPr>
        <w:t xml:space="preserve"> </w:t>
      </w:r>
      <w:r w:rsidR="00657421" w:rsidRPr="00DD1030">
        <w:rPr>
          <w:rFonts w:ascii="Avenir Book" w:hAnsi="Avenir Book"/>
        </w:rPr>
        <w:t>can produce</w:t>
      </w:r>
      <w:r w:rsidRPr="00DD1030">
        <w:rPr>
          <w:rFonts w:ascii="Avenir Book" w:hAnsi="Avenir Book"/>
        </w:rPr>
        <w:t xml:space="preserve"> better outcomes for the Office, the Commission, and the community. </w:t>
      </w:r>
      <w:r w:rsidR="00267A4E" w:rsidRPr="00DD1030">
        <w:rPr>
          <w:rFonts w:ascii="Avenir Book" w:hAnsi="Avenir Book"/>
        </w:rPr>
        <w:t>Because of the current legal landscape</w:t>
      </w:r>
      <w:r w:rsidR="000333CB" w:rsidRPr="00DD1030">
        <w:rPr>
          <w:rFonts w:ascii="Avenir Book" w:hAnsi="Avenir Book"/>
        </w:rPr>
        <w:t xml:space="preserve"> in the Commonwealth</w:t>
      </w:r>
      <w:r w:rsidR="00267A4E" w:rsidRPr="00DD1030">
        <w:rPr>
          <w:rFonts w:ascii="Avenir Book" w:hAnsi="Avenir Book"/>
        </w:rPr>
        <w:t>, the Commission’s relationship with the Office will necessarily involve a push-and-pull</w:t>
      </w:r>
      <w:r w:rsidR="00DD4825" w:rsidRPr="00DD1030">
        <w:rPr>
          <w:rFonts w:ascii="Avenir Book" w:hAnsi="Avenir Book"/>
        </w:rPr>
        <w:t>:</w:t>
      </w:r>
      <w:r w:rsidR="00267A4E" w:rsidRPr="00DD1030">
        <w:rPr>
          <w:rFonts w:ascii="Avenir Book" w:hAnsi="Avenir Book"/>
        </w:rPr>
        <w:t xml:space="preserve"> in order to achieve optimal governance of the Office, the Commission will need to </w:t>
      </w:r>
      <w:r w:rsidR="00F17447" w:rsidRPr="00DD1030">
        <w:rPr>
          <w:rFonts w:ascii="Avenir Book" w:hAnsi="Avenir Book"/>
        </w:rPr>
        <w:t xml:space="preserve">grant the Office more independence, while at the same time instituting structures that will </w:t>
      </w:r>
      <w:r w:rsidR="009402C1" w:rsidRPr="00DD1030">
        <w:rPr>
          <w:rFonts w:ascii="Avenir Book" w:hAnsi="Avenir Book"/>
        </w:rPr>
        <w:t xml:space="preserve">ensure </w:t>
      </w:r>
      <w:r w:rsidR="0004792F" w:rsidRPr="00DD1030">
        <w:rPr>
          <w:rFonts w:ascii="Avenir Book" w:hAnsi="Avenir Book"/>
        </w:rPr>
        <w:t xml:space="preserve">appropriate </w:t>
      </w:r>
      <w:r w:rsidR="00F17447" w:rsidRPr="00DD1030">
        <w:rPr>
          <w:rFonts w:ascii="Avenir Book" w:hAnsi="Avenir Book"/>
        </w:rPr>
        <w:t>oversight of Office operations.</w:t>
      </w:r>
    </w:p>
    <w:p w14:paraId="04E8ACCA" w14:textId="7B985610" w:rsidR="00E8316F" w:rsidRPr="00DD1030" w:rsidRDefault="003911C3" w:rsidP="00DD1030">
      <w:pPr>
        <w:pStyle w:val="NormalText"/>
      </w:pPr>
      <w:r w:rsidRPr="00DD1030">
        <w:t>Balancing</w:t>
      </w:r>
      <w:r w:rsidR="00E8316F" w:rsidRPr="00DD1030">
        <w:t xml:space="preserve"> </w:t>
      </w:r>
      <w:r w:rsidRPr="00DD1030">
        <w:t xml:space="preserve">the Office’s independence with the County’s oversight role </w:t>
      </w:r>
      <w:r w:rsidR="00E8316F" w:rsidRPr="00DD1030">
        <w:t xml:space="preserve">is, therefore, </w:t>
      </w:r>
      <w:r w:rsidRPr="00DD1030">
        <w:t>a central challenge and the primary focus of this Report</w:t>
      </w:r>
      <w:r w:rsidR="00E8316F" w:rsidRPr="00DD1030">
        <w:t xml:space="preserve">. </w:t>
      </w:r>
      <w:r w:rsidRPr="00DD1030">
        <w:t xml:space="preserve">The Report </w:t>
      </w:r>
      <w:r w:rsidR="001A7804" w:rsidRPr="00DD1030">
        <w:t>then</w:t>
      </w:r>
      <w:r w:rsidRPr="00DD1030">
        <w:t xml:space="preserve"> </w:t>
      </w:r>
      <w:r w:rsidR="00D430C3">
        <w:lastRenderedPageBreak/>
        <w:t xml:space="preserve">proceeds by </w:t>
      </w:r>
      <w:r w:rsidR="001A7804" w:rsidRPr="00DD1030">
        <w:t>address</w:t>
      </w:r>
      <w:r w:rsidR="00D430C3">
        <w:t>ing</w:t>
      </w:r>
      <w:r w:rsidR="00E8316F" w:rsidRPr="00DD1030">
        <w:t xml:space="preserve"> </w:t>
      </w:r>
      <w:r w:rsidR="00A4046F" w:rsidRPr="00DD1030">
        <w:t xml:space="preserve">the Commission’s </w:t>
      </w:r>
      <w:r w:rsidR="001A7804" w:rsidRPr="00DD1030">
        <w:t>role in funding the Office</w:t>
      </w:r>
      <w:r w:rsidR="00A4046F" w:rsidRPr="00DD1030">
        <w:t xml:space="preserve">. Next, the Report discusses how the County can prophylactically mitigate risk arising from potential lawsuits against </w:t>
      </w:r>
      <w:r w:rsidR="00ED6CF7" w:rsidRPr="00DD1030">
        <w:t>the Office</w:t>
      </w:r>
      <w:r w:rsidR="00A4046F" w:rsidRPr="00DD1030">
        <w:t xml:space="preserve">. </w:t>
      </w:r>
      <w:r w:rsidR="001A7804" w:rsidRPr="00DD1030">
        <w:t>The Report concludes with specific recommendations in each of these areas, as summarized below.</w:t>
      </w:r>
    </w:p>
    <w:p w14:paraId="50368E3D" w14:textId="77777777" w:rsidR="00C91379" w:rsidRDefault="00C91379">
      <w:pPr>
        <w:spacing w:line="480" w:lineRule="auto"/>
        <w:ind w:firstLine="720"/>
        <w:jc w:val="both"/>
      </w:pPr>
    </w:p>
    <w:p w14:paraId="6C71B2C0" w14:textId="61225169" w:rsidR="00D315D5" w:rsidRPr="009312EE" w:rsidRDefault="005847A7" w:rsidP="009312EE">
      <w:pPr>
        <w:pStyle w:val="HEAD2"/>
        <w:rPr>
          <w:sz w:val="33"/>
          <w:szCs w:val="33"/>
        </w:rPr>
      </w:pPr>
      <w:r w:rsidRPr="009312EE">
        <w:rPr>
          <w:sz w:val="33"/>
          <w:szCs w:val="33"/>
        </w:rPr>
        <w:t xml:space="preserve">ENSURING </w:t>
      </w:r>
      <w:r w:rsidR="00D315D5" w:rsidRPr="009312EE">
        <w:rPr>
          <w:sz w:val="33"/>
          <w:szCs w:val="33"/>
        </w:rPr>
        <w:t>INDEPENDENCE</w:t>
      </w:r>
    </w:p>
    <w:p w14:paraId="60E36F5A" w14:textId="5817A135" w:rsidR="000F6C1C" w:rsidRPr="00DD1030" w:rsidRDefault="000F6C1C" w:rsidP="00DD1030">
      <w:pPr>
        <w:numPr>
          <w:ilvl w:val="0"/>
          <w:numId w:val="1"/>
        </w:numPr>
        <w:pBdr>
          <w:top w:val="nil"/>
          <w:left w:val="nil"/>
          <w:bottom w:val="nil"/>
          <w:right w:val="nil"/>
          <w:between w:val="nil"/>
        </w:pBdr>
        <w:spacing w:line="360" w:lineRule="auto"/>
        <w:ind w:left="360"/>
        <w:jc w:val="both"/>
        <w:rPr>
          <w:rFonts w:ascii="Avenir Book" w:hAnsi="Avenir Book"/>
        </w:rPr>
      </w:pPr>
      <w:r w:rsidRPr="00DD1030">
        <w:rPr>
          <w:rFonts w:ascii="Avenir Black" w:hAnsi="Avenir Black"/>
          <w:color w:val="000000"/>
        </w:rPr>
        <w:t>Montgomery Count</w:t>
      </w:r>
      <w:r w:rsidR="00DE78E6" w:rsidRPr="00DD1030">
        <w:rPr>
          <w:rFonts w:ascii="Avenir Black" w:hAnsi="Avenir Black"/>
          <w:color w:val="000000"/>
        </w:rPr>
        <w:t>y should create an independent Oversight B</w:t>
      </w:r>
      <w:r w:rsidRPr="00DD1030">
        <w:rPr>
          <w:rFonts w:ascii="Avenir Black" w:hAnsi="Avenir Black"/>
          <w:color w:val="000000"/>
        </w:rPr>
        <w:t>oard to manage its indigent defense services.</w:t>
      </w:r>
      <w:r w:rsidRPr="00DD1030">
        <w:rPr>
          <w:rFonts w:ascii="Avenir Book" w:hAnsi="Avenir Book"/>
          <w:color w:val="000000"/>
        </w:rPr>
        <w:t xml:space="preserve"> Because Pennsylvania places the burden of overseeing and funding indigent defense services on its counties, public defender offices are more susceptible to judicial and political influence than they would be in a statewide defender system. Montgomery County can protect its </w:t>
      </w:r>
      <w:r w:rsidR="003559EF" w:rsidRPr="00DD1030">
        <w:rPr>
          <w:rFonts w:ascii="Avenir Book" w:hAnsi="Avenir Book"/>
          <w:color w:val="000000"/>
        </w:rPr>
        <w:t>public defender office</w:t>
      </w:r>
      <w:r w:rsidRPr="00DD1030">
        <w:rPr>
          <w:rFonts w:ascii="Avenir Book" w:hAnsi="Avenir Book"/>
          <w:color w:val="000000"/>
        </w:rPr>
        <w:t xml:space="preserve"> from undue outside influence by creating a</w:t>
      </w:r>
      <w:r w:rsidR="00BF7A95" w:rsidRPr="00DD1030">
        <w:rPr>
          <w:rFonts w:ascii="Avenir Book" w:hAnsi="Avenir Book"/>
          <w:color w:val="000000"/>
        </w:rPr>
        <w:t>n</w:t>
      </w:r>
      <w:r w:rsidRPr="00DD1030">
        <w:rPr>
          <w:rFonts w:ascii="Avenir Book" w:hAnsi="Avenir Book"/>
          <w:color w:val="000000"/>
        </w:rPr>
        <w:t xml:space="preserve"> </w:t>
      </w:r>
      <w:r w:rsidR="00A06446" w:rsidRPr="00DD1030">
        <w:rPr>
          <w:rFonts w:ascii="Avenir Book" w:hAnsi="Avenir Book"/>
          <w:color w:val="000000"/>
        </w:rPr>
        <w:t>Oversight Board</w:t>
      </w:r>
      <w:r w:rsidRPr="00DD1030">
        <w:rPr>
          <w:rFonts w:ascii="Avenir Book" w:hAnsi="Avenir Book"/>
          <w:color w:val="000000"/>
        </w:rPr>
        <w:t xml:space="preserve"> to </w:t>
      </w:r>
      <w:r w:rsidR="009402C1" w:rsidRPr="00DD1030">
        <w:rPr>
          <w:rFonts w:ascii="Avenir Book" w:hAnsi="Avenir Book"/>
          <w:color w:val="000000"/>
        </w:rPr>
        <w:t xml:space="preserve">help select </w:t>
      </w:r>
      <w:r w:rsidRPr="00DD1030">
        <w:rPr>
          <w:rFonts w:ascii="Avenir Book" w:hAnsi="Avenir Book"/>
          <w:color w:val="000000"/>
        </w:rPr>
        <w:t xml:space="preserve">the Chief Public Defender and </w:t>
      </w:r>
      <w:r w:rsidR="00E6689C" w:rsidRPr="00DD1030">
        <w:rPr>
          <w:rFonts w:ascii="Avenir Book" w:hAnsi="Avenir Book"/>
          <w:color w:val="000000"/>
        </w:rPr>
        <w:t>provide advice and counsel</w:t>
      </w:r>
      <w:r w:rsidR="001A7804" w:rsidRPr="00DD1030">
        <w:rPr>
          <w:rFonts w:ascii="Avenir Book" w:hAnsi="Avenir Book"/>
          <w:color w:val="000000"/>
        </w:rPr>
        <w:t xml:space="preserve"> regarding</w:t>
      </w:r>
      <w:r w:rsidRPr="00DD1030">
        <w:rPr>
          <w:rFonts w:ascii="Avenir Book" w:hAnsi="Avenir Book"/>
          <w:color w:val="000000"/>
        </w:rPr>
        <w:t xml:space="preserve"> the </w:t>
      </w:r>
      <w:r w:rsidR="00E6689C" w:rsidRPr="00DD1030">
        <w:rPr>
          <w:rFonts w:ascii="Avenir Book" w:hAnsi="Avenir Book"/>
          <w:color w:val="000000"/>
        </w:rPr>
        <w:t>Office’s operations and policy initiatives</w:t>
      </w:r>
      <w:r w:rsidRPr="00DD1030">
        <w:rPr>
          <w:rFonts w:ascii="Avenir Book" w:hAnsi="Avenir Book"/>
          <w:color w:val="000000"/>
        </w:rPr>
        <w:t>.</w:t>
      </w:r>
    </w:p>
    <w:p w14:paraId="1033B66D" w14:textId="77777777" w:rsidR="00D16A2E" w:rsidRDefault="00D16A2E" w:rsidP="00DD1030">
      <w:pPr>
        <w:pBdr>
          <w:top w:val="nil"/>
          <w:left w:val="nil"/>
          <w:bottom w:val="nil"/>
          <w:right w:val="nil"/>
          <w:between w:val="nil"/>
        </w:pBdr>
        <w:spacing w:line="360" w:lineRule="auto"/>
        <w:ind w:left="360"/>
        <w:jc w:val="both"/>
      </w:pPr>
    </w:p>
    <w:p w14:paraId="2AEA2833" w14:textId="46EC10B9" w:rsidR="00D315D5" w:rsidRPr="00DD1030" w:rsidRDefault="00D315D5" w:rsidP="00DD1030">
      <w:pPr>
        <w:numPr>
          <w:ilvl w:val="0"/>
          <w:numId w:val="1"/>
        </w:numPr>
        <w:pBdr>
          <w:top w:val="nil"/>
          <w:left w:val="nil"/>
          <w:bottom w:val="nil"/>
          <w:right w:val="nil"/>
          <w:between w:val="nil"/>
        </w:pBdr>
        <w:spacing w:line="360" w:lineRule="auto"/>
        <w:ind w:left="360"/>
        <w:jc w:val="both"/>
        <w:rPr>
          <w:rFonts w:ascii="Avenir Book" w:hAnsi="Avenir Book"/>
        </w:rPr>
      </w:pPr>
      <w:r w:rsidRPr="00DD1030">
        <w:rPr>
          <w:rFonts w:ascii="Avenir Black" w:hAnsi="Avenir Black"/>
        </w:rPr>
        <w:t>Montgomery County should delegate the selection</w:t>
      </w:r>
      <w:r w:rsidR="00C5085D" w:rsidRPr="00DD1030">
        <w:rPr>
          <w:rFonts w:ascii="Avenir Black" w:hAnsi="Avenir Black"/>
        </w:rPr>
        <w:t xml:space="preserve"> process</w:t>
      </w:r>
      <w:r w:rsidRPr="00DD1030">
        <w:rPr>
          <w:rFonts w:ascii="Avenir Black" w:hAnsi="Avenir Black"/>
        </w:rPr>
        <w:t xml:space="preserve"> of the Chief Public Defender to an Oversight Board.</w:t>
      </w:r>
      <w:r w:rsidRPr="00DD1030">
        <w:rPr>
          <w:rFonts w:ascii="Avenir Book" w:hAnsi="Avenir Book"/>
        </w:rPr>
        <w:t xml:space="preserve"> </w:t>
      </w:r>
      <w:r w:rsidR="00BF7A95" w:rsidRPr="00DD1030">
        <w:rPr>
          <w:rFonts w:ascii="Avenir Book" w:hAnsi="Avenir Book"/>
        </w:rPr>
        <w:t xml:space="preserve">While the Commission has the statutory responsibility to appoint the Chief Public Defender, it can and should delegate </w:t>
      </w:r>
      <w:r w:rsidR="00844AA8" w:rsidRPr="00DD1030">
        <w:rPr>
          <w:rFonts w:ascii="Avenir Book" w:hAnsi="Avenir Book"/>
        </w:rPr>
        <w:t xml:space="preserve">part of </w:t>
      </w:r>
      <w:r w:rsidR="00BF7A95" w:rsidRPr="00DD1030">
        <w:rPr>
          <w:rFonts w:ascii="Avenir Book" w:hAnsi="Avenir Book"/>
        </w:rPr>
        <w:t xml:space="preserve">the </w:t>
      </w:r>
      <w:r w:rsidR="00E065DD">
        <w:rPr>
          <w:rFonts w:ascii="Avenir Book" w:hAnsi="Avenir Book"/>
        </w:rPr>
        <w:t xml:space="preserve">recommendation and </w:t>
      </w:r>
      <w:r w:rsidR="00BF7A95" w:rsidRPr="00DD1030">
        <w:rPr>
          <w:rFonts w:ascii="Avenir Book" w:hAnsi="Avenir Book"/>
        </w:rPr>
        <w:t xml:space="preserve">selection </w:t>
      </w:r>
      <w:r w:rsidR="00C5085D" w:rsidRPr="00DD1030">
        <w:rPr>
          <w:rFonts w:ascii="Avenir Book" w:hAnsi="Avenir Book"/>
        </w:rPr>
        <w:t>process for</w:t>
      </w:r>
      <w:r w:rsidR="00BF7A95" w:rsidRPr="00DD1030">
        <w:rPr>
          <w:rFonts w:ascii="Avenir Book" w:hAnsi="Avenir Book"/>
        </w:rPr>
        <w:t xml:space="preserve"> the </w:t>
      </w:r>
      <w:r w:rsidR="00E065DD">
        <w:rPr>
          <w:rFonts w:ascii="Avenir Book" w:hAnsi="Avenir Book"/>
        </w:rPr>
        <w:t>Chief</w:t>
      </w:r>
      <w:r w:rsidR="00BF7A95" w:rsidRPr="00DD1030">
        <w:rPr>
          <w:rFonts w:ascii="Avenir Book" w:hAnsi="Avenir Book"/>
        </w:rPr>
        <w:t xml:space="preserve"> Defender to an Oversight Board. The Commission should also consult with t</w:t>
      </w:r>
      <w:r w:rsidRPr="00DD1030">
        <w:rPr>
          <w:rFonts w:ascii="Avenir Book" w:hAnsi="Avenir Book"/>
        </w:rPr>
        <w:t xml:space="preserve">he </w:t>
      </w:r>
      <w:r w:rsidR="00BF7A95" w:rsidRPr="00DD1030">
        <w:rPr>
          <w:rFonts w:ascii="Avenir Book" w:hAnsi="Avenir Book"/>
        </w:rPr>
        <w:t xml:space="preserve">Oversight </w:t>
      </w:r>
      <w:r w:rsidRPr="00DD1030">
        <w:rPr>
          <w:rFonts w:ascii="Avenir Book" w:hAnsi="Avenir Book"/>
        </w:rPr>
        <w:t xml:space="preserve">Board </w:t>
      </w:r>
      <w:r w:rsidR="00844AA8" w:rsidRPr="00DD1030">
        <w:rPr>
          <w:rFonts w:ascii="Avenir Book" w:hAnsi="Avenir Book"/>
        </w:rPr>
        <w:t>on any decisions regarding the</w:t>
      </w:r>
      <w:r w:rsidRPr="00DD1030">
        <w:rPr>
          <w:rFonts w:ascii="Avenir Book" w:hAnsi="Avenir Book"/>
        </w:rPr>
        <w:t xml:space="preserve"> Chief Defender</w:t>
      </w:r>
      <w:r w:rsidR="00C5085D" w:rsidRPr="00DD1030">
        <w:rPr>
          <w:rFonts w:ascii="Avenir Book" w:hAnsi="Avenir Book"/>
        </w:rPr>
        <w:t xml:space="preserve">’s </w:t>
      </w:r>
      <w:r w:rsidR="00C647ED">
        <w:rPr>
          <w:rFonts w:ascii="Avenir Book" w:hAnsi="Avenir Book"/>
        </w:rPr>
        <w:t>remov</w:t>
      </w:r>
      <w:r w:rsidR="00A4356F" w:rsidRPr="00DD1030">
        <w:rPr>
          <w:rFonts w:ascii="Avenir Book" w:hAnsi="Avenir Book"/>
        </w:rPr>
        <w:t>al</w:t>
      </w:r>
      <w:r w:rsidRPr="00DD1030">
        <w:rPr>
          <w:rFonts w:ascii="Avenir Book" w:hAnsi="Avenir Book"/>
        </w:rPr>
        <w:t>.</w:t>
      </w:r>
    </w:p>
    <w:p w14:paraId="17D16991" w14:textId="77777777" w:rsidR="00281734" w:rsidRPr="00DD1030" w:rsidRDefault="00281734" w:rsidP="00DD1030">
      <w:pPr>
        <w:pBdr>
          <w:top w:val="nil"/>
          <w:left w:val="nil"/>
          <w:bottom w:val="nil"/>
          <w:right w:val="nil"/>
          <w:between w:val="nil"/>
        </w:pBdr>
        <w:spacing w:line="360" w:lineRule="auto"/>
        <w:ind w:left="360"/>
        <w:jc w:val="both"/>
        <w:rPr>
          <w:rFonts w:ascii="Avenir Book" w:hAnsi="Avenir Book"/>
        </w:rPr>
      </w:pPr>
    </w:p>
    <w:p w14:paraId="5B5ECE06" w14:textId="2659DFFC" w:rsidR="004F3CDB" w:rsidRPr="00DD1030" w:rsidRDefault="004F3CDB" w:rsidP="00DD1030">
      <w:pPr>
        <w:pStyle w:val="ListParagraph"/>
        <w:numPr>
          <w:ilvl w:val="0"/>
          <w:numId w:val="1"/>
        </w:numPr>
        <w:pBdr>
          <w:top w:val="nil"/>
          <w:left w:val="nil"/>
          <w:bottom w:val="nil"/>
          <w:right w:val="nil"/>
          <w:between w:val="nil"/>
        </w:pBdr>
        <w:spacing w:line="360" w:lineRule="auto"/>
        <w:ind w:left="360"/>
        <w:jc w:val="both"/>
        <w:rPr>
          <w:rFonts w:ascii="Avenir Book" w:hAnsi="Avenir Book"/>
        </w:rPr>
      </w:pPr>
      <w:r w:rsidRPr="00DD1030">
        <w:rPr>
          <w:rFonts w:ascii="Avenir Black" w:hAnsi="Avenir Black"/>
        </w:rPr>
        <w:t>The Montgomery County Office of the Public Defender should have a dedicated Human Resources professional.</w:t>
      </w:r>
      <w:r w:rsidRPr="00DD1030">
        <w:rPr>
          <w:rFonts w:ascii="Avenir Book" w:hAnsi="Avenir Book"/>
        </w:rPr>
        <w:t xml:space="preserve"> Currently, the office has no internal Human Resources Department or dedicated HR professional, which means that attorneys wishing to discuss a work issue must utilize the county’s Human Resources team or </w:t>
      </w:r>
      <w:r w:rsidRPr="00DD1030">
        <w:rPr>
          <w:rFonts w:ascii="Avenir Book" w:hAnsi="Avenir Book"/>
        </w:rPr>
        <w:lastRenderedPageBreak/>
        <w:t xml:space="preserve">speak with the Board of Commissioners, neither of which is ideal. </w:t>
      </w:r>
      <w:r w:rsidR="00E065DD">
        <w:rPr>
          <w:rFonts w:ascii="Avenir Book" w:hAnsi="Avenir Book"/>
        </w:rPr>
        <w:t>The Report also</w:t>
      </w:r>
      <w:r w:rsidRPr="00DD1030">
        <w:rPr>
          <w:rFonts w:ascii="Avenir Book" w:hAnsi="Avenir Book"/>
        </w:rPr>
        <w:t xml:space="preserve"> recommend</w:t>
      </w:r>
      <w:r w:rsidR="00E065DD">
        <w:rPr>
          <w:rFonts w:ascii="Avenir Book" w:hAnsi="Avenir Book"/>
        </w:rPr>
        <w:t>s</w:t>
      </w:r>
      <w:r w:rsidRPr="00DD1030">
        <w:rPr>
          <w:rFonts w:ascii="Avenir Book" w:hAnsi="Avenir Book"/>
        </w:rPr>
        <w:t xml:space="preserve"> that the </w:t>
      </w:r>
      <w:r w:rsidR="00E065DD">
        <w:rPr>
          <w:rFonts w:ascii="Avenir Book" w:hAnsi="Avenir Book"/>
        </w:rPr>
        <w:t>O</w:t>
      </w:r>
      <w:r w:rsidRPr="00DD1030">
        <w:rPr>
          <w:rFonts w:ascii="Avenir Book" w:hAnsi="Avenir Book"/>
        </w:rPr>
        <w:t xml:space="preserve">ffice create and distribute a human resources policy that </w:t>
      </w:r>
      <w:r w:rsidR="00D507A7" w:rsidRPr="00DD1030">
        <w:rPr>
          <w:rFonts w:ascii="Avenir Book" w:hAnsi="Avenir Book"/>
        </w:rPr>
        <w:t xml:space="preserve">establishes </w:t>
      </w:r>
      <w:r w:rsidRPr="00DD1030">
        <w:rPr>
          <w:rFonts w:ascii="Avenir Book" w:hAnsi="Avenir Book"/>
        </w:rPr>
        <w:t>a clear reporting structure for HR complaints.</w:t>
      </w:r>
    </w:p>
    <w:p w14:paraId="3BAD44BE" w14:textId="77777777" w:rsidR="00281734" w:rsidRPr="00DD1030" w:rsidRDefault="00281734" w:rsidP="00DD1030">
      <w:pPr>
        <w:pBdr>
          <w:top w:val="nil"/>
          <w:left w:val="nil"/>
          <w:bottom w:val="nil"/>
          <w:right w:val="nil"/>
          <w:between w:val="nil"/>
        </w:pBdr>
        <w:spacing w:line="360" w:lineRule="auto"/>
        <w:ind w:left="360"/>
        <w:jc w:val="both"/>
        <w:rPr>
          <w:rFonts w:ascii="Avenir Book" w:hAnsi="Avenir Book"/>
        </w:rPr>
      </w:pPr>
    </w:p>
    <w:p w14:paraId="5D42421C" w14:textId="20F0EECE" w:rsidR="00DD1030" w:rsidRDefault="004F3CDB" w:rsidP="00DD1030">
      <w:pPr>
        <w:numPr>
          <w:ilvl w:val="0"/>
          <w:numId w:val="1"/>
        </w:numPr>
        <w:spacing w:line="360" w:lineRule="auto"/>
        <w:ind w:left="360"/>
        <w:jc w:val="both"/>
        <w:rPr>
          <w:rFonts w:ascii="Avenir Book" w:hAnsi="Avenir Book"/>
        </w:rPr>
      </w:pPr>
      <w:r w:rsidRPr="00DD1030">
        <w:rPr>
          <w:rFonts w:ascii="Avenir Black" w:hAnsi="Avenir Black"/>
        </w:rPr>
        <w:t xml:space="preserve">The Montgomery County Office of the Public Defender should </w:t>
      </w:r>
      <w:r w:rsidR="00AC5BA6" w:rsidRPr="00DD1030">
        <w:rPr>
          <w:rFonts w:ascii="Avenir Black" w:hAnsi="Avenir Black"/>
        </w:rPr>
        <w:t>reassess</w:t>
      </w:r>
      <w:r w:rsidRPr="00DD1030">
        <w:rPr>
          <w:rFonts w:ascii="Avenir Black" w:hAnsi="Avenir Black"/>
        </w:rPr>
        <w:t xml:space="preserve"> its current </w:t>
      </w:r>
      <w:r w:rsidR="00AC5BA6" w:rsidRPr="00DD1030">
        <w:rPr>
          <w:rFonts w:ascii="Avenir Black" w:hAnsi="Avenir Black"/>
        </w:rPr>
        <w:t>case assignment</w:t>
      </w:r>
      <w:r w:rsidRPr="00DD1030">
        <w:rPr>
          <w:rFonts w:ascii="Avenir Black" w:hAnsi="Avenir Black"/>
        </w:rPr>
        <w:t xml:space="preserve"> system.</w:t>
      </w:r>
      <w:r w:rsidRPr="00DD1030">
        <w:rPr>
          <w:rFonts w:ascii="Avenir Book" w:hAnsi="Avenir Book"/>
        </w:rPr>
        <w:t xml:space="preserve">  Staff attorneys </w:t>
      </w:r>
      <w:r w:rsidR="00E065DD">
        <w:rPr>
          <w:rFonts w:ascii="Avenir Book" w:hAnsi="Avenir Book"/>
        </w:rPr>
        <w:t>in the Office a</w:t>
      </w:r>
      <w:r w:rsidRPr="00DD1030">
        <w:rPr>
          <w:rFonts w:ascii="Avenir Book" w:hAnsi="Avenir Book"/>
        </w:rPr>
        <w:t xml:space="preserve">re currently grouped in trial teams assigned to a particular judge for extended periods of time.  This system may create the actuality or appearance of pressure to not displease or cross a judge in a particular case because of what may then result in subsequent cases.  The </w:t>
      </w:r>
      <w:r w:rsidR="00E065DD">
        <w:rPr>
          <w:rFonts w:ascii="Avenir Book" w:hAnsi="Avenir Book"/>
        </w:rPr>
        <w:t>Office</w:t>
      </w:r>
      <w:r w:rsidRPr="00DD1030">
        <w:rPr>
          <w:rFonts w:ascii="Avenir Book" w:hAnsi="Avenir Book"/>
        </w:rPr>
        <w:t xml:space="preserve"> should consider modifying the system to rotate lawyers more frequently, have teams based on subject matter specialization, or other assignment regimens that assure quality representation and the least amount of pressure to conform. </w:t>
      </w:r>
    </w:p>
    <w:p w14:paraId="3BBEF8F5" w14:textId="77777777" w:rsidR="00DD1030" w:rsidRDefault="00DD1030" w:rsidP="00DD1030">
      <w:pPr>
        <w:pStyle w:val="ListParagraph"/>
        <w:rPr>
          <w:rFonts w:ascii="Avenir Book" w:hAnsi="Avenir Book"/>
        </w:rPr>
      </w:pPr>
    </w:p>
    <w:p w14:paraId="51EF08B5" w14:textId="65943603" w:rsidR="00DD1030" w:rsidRPr="00DD1030" w:rsidRDefault="00DD1030" w:rsidP="001161E1">
      <w:pPr>
        <w:pStyle w:val="Head3"/>
      </w:pPr>
      <w:r w:rsidRPr="005847A7">
        <w:t>FUNDING CONSIDERATIONS</w:t>
      </w:r>
    </w:p>
    <w:p w14:paraId="21008C4F" w14:textId="4158CFE0" w:rsidR="00DD1030" w:rsidRPr="00DD1030" w:rsidRDefault="00BF7A95" w:rsidP="00DD1030">
      <w:pPr>
        <w:numPr>
          <w:ilvl w:val="0"/>
          <w:numId w:val="1"/>
        </w:numPr>
        <w:spacing w:line="360" w:lineRule="auto"/>
        <w:ind w:left="360"/>
        <w:jc w:val="both"/>
        <w:rPr>
          <w:rFonts w:ascii="Avenir Book" w:hAnsi="Avenir Book"/>
        </w:rPr>
      </w:pPr>
      <w:r w:rsidRPr="00DD1030">
        <w:rPr>
          <w:rFonts w:ascii="Avenir Black" w:hAnsi="Avenir Black"/>
          <w:color w:val="000000"/>
        </w:rPr>
        <w:t>Montgomery County should continue to increase funding to the Office of the Public Defender to respond to the needs of indigent defense provision</w:t>
      </w:r>
      <w:r w:rsidRPr="00DD1030">
        <w:rPr>
          <w:rFonts w:ascii="Avenir Black" w:hAnsi="Avenir Black"/>
          <w:b/>
          <w:bCs/>
          <w:color w:val="000000"/>
        </w:rPr>
        <w:t>.</w:t>
      </w:r>
      <w:r w:rsidRPr="00DD1030">
        <w:rPr>
          <w:rFonts w:ascii="Avenir Book" w:hAnsi="Avenir Book"/>
          <w:color w:val="000000"/>
        </w:rPr>
        <w:t xml:space="preserve"> Pennsylvania </w:t>
      </w:r>
      <w:r w:rsidR="00844AA8" w:rsidRPr="00DD1030">
        <w:rPr>
          <w:rFonts w:ascii="Avenir Book" w:hAnsi="Avenir Book"/>
          <w:color w:val="000000"/>
        </w:rPr>
        <w:t>stands nearly alone in the nation in</w:t>
      </w:r>
      <w:r w:rsidRPr="00DD1030">
        <w:rPr>
          <w:rFonts w:ascii="Avenir Book" w:hAnsi="Avenir Book"/>
          <w:color w:val="000000"/>
        </w:rPr>
        <w:t xml:space="preserve"> provid</w:t>
      </w:r>
      <w:r w:rsidR="00844AA8" w:rsidRPr="00DD1030">
        <w:rPr>
          <w:rFonts w:ascii="Avenir Book" w:hAnsi="Avenir Book"/>
          <w:color w:val="000000"/>
        </w:rPr>
        <w:t>ing</w:t>
      </w:r>
      <w:r w:rsidRPr="00DD1030">
        <w:rPr>
          <w:rFonts w:ascii="Avenir Book" w:hAnsi="Avenir Book"/>
          <w:color w:val="000000"/>
        </w:rPr>
        <w:t xml:space="preserve"> no state funding for indigent defense, </w:t>
      </w:r>
      <w:r w:rsidR="00844AA8" w:rsidRPr="00DD1030">
        <w:rPr>
          <w:rFonts w:ascii="Avenir Book" w:hAnsi="Avenir Book"/>
          <w:color w:val="000000"/>
        </w:rPr>
        <w:t>placing</w:t>
      </w:r>
      <w:r w:rsidRPr="00DD1030">
        <w:rPr>
          <w:rFonts w:ascii="Avenir Book" w:hAnsi="Avenir Book"/>
          <w:color w:val="000000"/>
        </w:rPr>
        <w:t xml:space="preserve"> the full burden of funding the </w:t>
      </w:r>
      <w:r w:rsidR="00E065DD">
        <w:rPr>
          <w:rFonts w:ascii="Avenir Book" w:hAnsi="Avenir Book"/>
          <w:color w:val="000000"/>
        </w:rPr>
        <w:t>Office of the Public Defender</w:t>
      </w:r>
      <w:r w:rsidRPr="00DD1030">
        <w:rPr>
          <w:rFonts w:ascii="Avenir Book" w:hAnsi="Avenir Book"/>
          <w:color w:val="000000"/>
        </w:rPr>
        <w:t xml:space="preserve"> on Montgomery County. </w:t>
      </w:r>
      <w:r w:rsidR="00A90F78" w:rsidRPr="00DD1030">
        <w:rPr>
          <w:rFonts w:ascii="Avenir Book" w:hAnsi="Avenir Book"/>
          <w:color w:val="000000"/>
        </w:rPr>
        <w:t>In recent years</w:t>
      </w:r>
      <w:r w:rsidR="00844AA8" w:rsidRPr="00DD1030">
        <w:rPr>
          <w:rFonts w:ascii="Avenir Book" w:hAnsi="Avenir Book"/>
          <w:color w:val="000000"/>
        </w:rPr>
        <w:t xml:space="preserve">, </w:t>
      </w:r>
      <w:r w:rsidRPr="00DD1030">
        <w:rPr>
          <w:rFonts w:ascii="Avenir Book" w:hAnsi="Avenir Book"/>
          <w:color w:val="000000"/>
        </w:rPr>
        <w:t>Montgomery County has increased the budget of the Office. We recommend that the county continue this trend, which would allow the Office to provide even more robust training and hire more staff, at both the attorney and paraprofessional levels.</w:t>
      </w:r>
    </w:p>
    <w:p w14:paraId="5BF321A4" w14:textId="77777777" w:rsidR="00DD1030" w:rsidRDefault="00DD1030" w:rsidP="00DD1030">
      <w:pPr>
        <w:spacing w:line="360" w:lineRule="auto"/>
        <w:jc w:val="both"/>
        <w:rPr>
          <w:rFonts w:ascii="Avenir Book" w:hAnsi="Avenir Book"/>
        </w:rPr>
      </w:pPr>
    </w:p>
    <w:p w14:paraId="3067A107" w14:textId="77777777" w:rsidR="00DD1030" w:rsidRDefault="000E2E79" w:rsidP="00DD1030">
      <w:pPr>
        <w:numPr>
          <w:ilvl w:val="0"/>
          <w:numId w:val="1"/>
        </w:numPr>
        <w:spacing w:line="360" w:lineRule="auto"/>
        <w:ind w:left="360"/>
        <w:jc w:val="both"/>
        <w:rPr>
          <w:rFonts w:ascii="Avenir Book" w:hAnsi="Avenir Book"/>
        </w:rPr>
      </w:pPr>
      <w:sdt>
        <w:sdtPr>
          <w:tag w:val="goog_rdk_7"/>
          <w:id w:val="1696260212"/>
        </w:sdtPr>
        <w:sdtEndPr/>
        <w:sdtContent/>
      </w:sdt>
      <w:r w:rsidR="00BF7A95" w:rsidRPr="00DD1030">
        <w:rPr>
          <w:rFonts w:ascii="Avenir Black" w:hAnsi="Avenir Black"/>
          <w:color w:val="000000"/>
        </w:rPr>
        <w:t xml:space="preserve">Montgomery County should </w:t>
      </w:r>
      <w:r w:rsidR="003020FC" w:rsidRPr="00DD1030">
        <w:rPr>
          <w:rFonts w:ascii="Avenir Black" w:hAnsi="Avenir Black"/>
          <w:color w:val="000000"/>
        </w:rPr>
        <w:t>continue toward full</w:t>
      </w:r>
      <w:r w:rsidR="00BF7A95" w:rsidRPr="00DD1030">
        <w:rPr>
          <w:rFonts w:ascii="Avenir Black" w:hAnsi="Avenir Black"/>
          <w:color w:val="000000"/>
        </w:rPr>
        <w:t xml:space="preserve"> pay parity between defenders and prosecutors.</w:t>
      </w:r>
      <w:r w:rsidR="00BF7A95" w:rsidRPr="00DD1030">
        <w:rPr>
          <w:color w:val="000000"/>
        </w:rPr>
        <w:t xml:space="preserve"> </w:t>
      </w:r>
      <w:r w:rsidR="00BF7A95" w:rsidRPr="00DD1030">
        <w:rPr>
          <w:rFonts w:ascii="Avenir Book" w:hAnsi="Avenir Book"/>
          <w:color w:val="000000"/>
        </w:rPr>
        <w:t xml:space="preserve">Montgomery County has made great effort to address the issue of pay parity by participating in a salary study and instituting pay increases. Yet, the </w:t>
      </w:r>
      <w:r w:rsidR="00BF7A95" w:rsidRPr="00DD1030">
        <w:rPr>
          <w:rFonts w:ascii="Avenir Book" w:hAnsi="Avenir Book"/>
          <w:color w:val="000000"/>
        </w:rPr>
        <w:lastRenderedPageBreak/>
        <w:t>Office of the Public Defender still lacks pay parity with the county’s District Attorney’s office</w:t>
      </w:r>
      <w:r w:rsidR="003020FC" w:rsidRPr="00DD1030">
        <w:rPr>
          <w:rFonts w:ascii="Avenir Book" w:hAnsi="Avenir Book"/>
          <w:color w:val="000000"/>
        </w:rPr>
        <w:t xml:space="preserve"> for at least some of its attorneys</w:t>
      </w:r>
      <w:r w:rsidR="00BF7A95" w:rsidRPr="00DD1030">
        <w:rPr>
          <w:rFonts w:ascii="Avenir Book" w:hAnsi="Avenir Book"/>
          <w:color w:val="000000"/>
        </w:rPr>
        <w:t xml:space="preserve">. We recommend that the Board continue to revisit the issue of increased pay parity on an annual basis. Greater financial incentives and upward pay mobility are necessary to acquire and retain </w:t>
      </w:r>
      <w:r w:rsidR="00F00FB3" w:rsidRPr="00DD1030">
        <w:rPr>
          <w:rFonts w:ascii="Avenir Book" w:hAnsi="Avenir Book"/>
          <w:color w:val="000000"/>
        </w:rPr>
        <w:t>requisite</w:t>
      </w:r>
      <w:r w:rsidR="00BF7A95" w:rsidRPr="00DD1030">
        <w:rPr>
          <w:rFonts w:ascii="Avenir Book" w:hAnsi="Avenir Book"/>
          <w:color w:val="000000"/>
        </w:rPr>
        <w:t xml:space="preserve"> talent long-term.</w:t>
      </w:r>
      <w:r w:rsidR="00BF7A95" w:rsidRPr="00DD1030">
        <w:rPr>
          <w:color w:val="000000"/>
        </w:rPr>
        <w:t xml:space="preserve"> </w:t>
      </w:r>
    </w:p>
    <w:p w14:paraId="129953BA" w14:textId="1C13E163" w:rsidR="00DD1030" w:rsidRDefault="00DD1030" w:rsidP="00DD1030">
      <w:pPr>
        <w:pStyle w:val="ListParagraph"/>
        <w:rPr>
          <w:b/>
        </w:rPr>
      </w:pPr>
    </w:p>
    <w:p w14:paraId="2E232477" w14:textId="6DBCB195" w:rsidR="00DD1030" w:rsidRPr="00DD1030" w:rsidRDefault="00DD1030" w:rsidP="001161E1">
      <w:pPr>
        <w:pStyle w:val="Head3"/>
      </w:pPr>
      <w:r>
        <w:t xml:space="preserve">LITIGATION AND RISK MITIGATION </w:t>
      </w:r>
    </w:p>
    <w:p w14:paraId="1B675092" w14:textId="77777777" w:rsidR="00DD1030" w:rsidRDefault="00B006FB" w:rsidP="00DD1030">
      <w:pPr>
        <w:numPr>
          <w:ilvl w:val="0"/>
          <w:numId w:val="1"/>
        </w:numPr>
        <w:spacing w:line="360" w:lineRule="auto"/>
        <w:ind w:left="360"/>
        <w:jc w:val="both"/>
        <w:rPr>
          <w:rFonts w:ascii="Avenir Book" w:hAnsi="Avenir Book"/>
        </w:rPr>
      </w:pPr>
      <w:r w:rsidRPr="00DD1030">
        <w:rPr>
          <w:rFonts w:ascii="Avenir Black" w:hAnsi="Avenir Black"/>
        </w:rPr>
        <w:t>The Montgomery County Office of the Public Defender should create internal policy documents outlining expectations, promotion standards, and guidelines on case assignment and management.</w:t>
      </w:r>
      <w:r>
        <w:t xml:space="preserve"> </w:t>
      </w:r>
      <w:r w:rsidRPr="00DD1030">
        <w:rPr>
          <w:rFonts w:ascii="Avenir Book" w:hAnsi="Avenir Book"/>
        </w:rPr>
        <w:t xml:space="preserve">Although much of this </w:t>
      </w:r>
      <w:r w:rsidR="00844AA8" w:rsidRPr="00DD1030">
        <w:rPr>
          <w:rFonts w:ascii="Avenir Book" w:hAnsi="Avenir Book"/>
        </w:rPr>
        <w:t xml:space="preserve">information </w:t>
      </w:r>
      <w:r w:rsidRPr="00DD1030">
        <w:rPr>
          <w:rFonts w:ascii="Avenir Book" w:hAnsi="Avenir Book"/>
        </w:rPr>
        <w:t xml:space="preserve">may be </w:t>
      </w:r>
      <w:r w:rsidR="00844AA8" w:rsidRPr="00DD1030">
        <w:rPr>
          <w:rFonts w:ascii="Avenir Book" w:hAnsi="Avenir Book"/>
        </w:rPr>
        <w:t xml:space="preserve">shared through informal channels </w:t>
      </w:r>
      <w:r w:rsidRPr="00DD1030">
        <w:rPr>
          <w:rFonts w:ascii="Avenir Book" w:hAnsi="Avenir Book"/>
        </w:rPr>
        <w:t xml:space="preserve">in the </w:t>
      </w:r>
      <w:r w:rsidR="00844AA8" w:rsidRPr="00DD1030">
        <w:rPr>
          <w:rFonts w:ascii="Avenir Book" w:hAnsi="Avenir Book"/>
        </w:rPr>
        <w:t>O</w:t>
      </w:r>
      <w:r w:rsidRPr="00DD1030">
        <w:rPr>
          <w:rFonts w:ascii="Avenir Book" w:hAnsi="Avenir Book"/>
        </w:rPr>
        <w:t>ffice, creating formal written office policies will contribute to increasing a culture of consistency, accountability, and transparency.</w:t>
      </w:r>
      <w:r w:rsidR="001F0F68" w:rsidRPr="00DD1030">
        <w:rPr>
          <w:rFonts w:ascii="Avenir Book" w:hAnsi="Avenir Book"/>
        </w:rPr>
        <w:t xml:space="preserve"> </w:t>
      </w:r>
      <w:r w:rsidR="00844AA8" w:rsidRPr="00DD1030">
        <w:rPr>
          <w:rFonts w:ascii="Avenir Book" w:hAnsi="Avenir Book"/>
        </w:rPr>
        <w:t>P</w:t>
      </w:r>
      <w:r w:rsidR="00C5085D" w:rsidRPr="00DD1030">
        <w:rPr>
          <w:rFonts w:ascii="Avenir Book" w:hAnsi="Avenir Book"/>
        </w:rPr>
        <w:t xml:space="preserve">ublished standards </w:t>
      </w:r>
      <w:r w:rsidR="00844AA8" w:rsidRPr="00DD1030">
        <w:rPr>
          <w:rFonts w:ascii="Avenir Book" w:hAnsi="Avenir Book"/>
        </w:rPr>
        <w:t>are</w:t>
      </w:r>
      <w:r w:rsidR="00C5085D" w:rsidRPr="00DD1030">
        <w:rPr>
          <w:rFonts w:ascii="Avenir Book" w:hAnsi="Avenir Book"/>
        </w:rPr>
        <w:t xml:space="preserve"> also important for risk management and quality control.</w:t>
      </w:r>
    </w:p>
    <w:p w14:paraId="658ABA64" w14:textId="77777777" w:rsidR="00DD1030" w:rsidRDefault="00DD1030" w:rsidP="00DD1030">
      <w:pPr>
        <w:pStyle w:val="ListParagraph"/>
        <w:rPr>
          <w:b/>
        </w:rPr>
      </w:pPr>
    </w:p>
    <w:p w14:paraId="5C585A6D" w14:textId="3C2842E1" w:rsidR="00DD1030" w:rsidRDefault="00983C01" w:rsidP="00DD1030">
      <w:pPr>
        <w:numPr>
          <w:ilvl w:val="0"/>
          <w:numId w:val="1"/>
        </w:numPr>
        <w:spacing w:line="360" w:lineRule="auto"/>
        <w:ind w:left="360"/>
        <w:jc w:val="both"/>
        <w:rPr>
          <w:rFonts w:ascii="Avenir Book" w:hAnsi="Avenir Book"/>
        </w:rPr>
      </w:pPr>
      <w:r>
        <w:rPr>
          <w:rFonts w:ascii="Avenir Black" w:hAnsi="Avenir Black"/>
        </w:rPr>
        <w:t>T</w:t>
      </w:r>
      <w:r w:rsidRPr="00DD1030">
        <w:rPr>
          <w:rFonts w:ascii="Avenir Black" w:hAnsi="Avenir Black"/>
        </w:rPr>
        <w:t xml:space="preserve">he Montgomery County Office of the Public Defender </w:t>
      </w:r>
      <w:r>
        <w:rPr>
          <w:rFonts w:ascii="Avenir Black" w:hAnsi="Avenir Black"/>
        </w:rPr>
        <w:t>should consider reducing the direct caseloads of s</w:t>
      </w:r>
      <w:r w:rsidR="00B006FB" w:rsidRPr="00DD1030">
        <w:rPr>
          <w:rFonts w:ascii="Avenir Black" w:hAnsi="Avenir Black"/>
        </w:rPr>
        <w:t>upervising attorneys in order to give them more time to mentor and support the attorneys they supervise.</w:t>
      </w:r>
      <w:r w:rsidR="00B006FB">
        <w:t xml:space="preserve"> </w:t>
      </w:r>
      <w:r w:rsidR="00B006FB" w:rsidRPr="00DD1030">
        <w:rPr>
          <w:rFonts w:ascii="Avenir Book" w:hAnsi="Avenir Book"/>
        </w:rPr>
        <w:t>Team Leaders in Montgomery County are currently responsible for as many (or more) cases than the attorneys who they supervise. We recommend lightening their caseloads, which would free bandwidth for them to dedicate more time to mentoring and supervising the attorneys in their charge</w:t>
      </w:r>
      <w:sdt>
        <w:sdtPr>
          <w:rPr>
            <w:rFonts w:ascii="Avenir Book" w:hAnsi="Avenir Book"/>
          </w:rPr>
          <w:tag w:val="goog_rdk_8"/>
          <w:id w:val="-789576976"/>
        </w:sdtPr>
        <w:sdtEndPr/>
        <w:sdtContent/>
      </w:sdt>
      <w:sdt>
        <w:sdtPr>
          <w:rPr>
            <w:rFonts w:ascii="Avenir Book" w:hAnsi="Avenir Book"/>
          </w:rPr>
          <w:tag w:val="goog_rdk_9"/>
          <w:id w:val="-130716141"/>
        </w:sdtPr>
        <w:sdtEndPr/>
        <w:sdtContent/>
      </w:sdt>
      <w:r w:rsidR="00B006FB" w:rsidRPr="00DD1030">
        <w:rPr>
          <w:rFonts w:ascii="Avenir Book" w:hAnsi="Avenir Book"/>
        </w:rPr>
        <w:t xml:space="preserve">. </w:t>
      </w:r>
      <w:r>
        <w:rPr>
          <w:rFonts w:ascii="Avenir Book" w:hAnsi="Avenir Book"/>
        </w:rPr>
        <w:t>Additionally, this Report</w:t>
      </w:r>
      <w:r w:rsidR="00B006FB" w:rsidRPr="00DD1030">
        <w:rPr>
          <w:rFonts w:ascii="Avenir Book" w:hAnsi="Avenir Book"/>
        </w:rPr>
        <w:t xml:space="preserve"> recommend</w:t>
      </w:r>
      <w:r>
        <w:rPr>
          <w:rFonts w:ascii="Avenir Book" w:hAnsi="Avenir Book"/>
        </w:rPr>
        <w:t>s</w:t>
      </w:r>
      <w:r w:rsidR="00B006FB" w:rsidRPr="00DD1030">
        <w:rPr>
          <w:rFonts w:ascii="Avenir Book" w:hAnsi="Avenir Book"/>
        </w:rPr>
        <w:t xml:space="preserve"> instituting a regular meeting schedule for staff as well as a formal case management system.</w:t>
      </w:r>
      <w:r w:rsidR="00B006FB">
        <w:t xml:space="preserve"> </w:t>
      </w:r>
    </w:p>
    <w:p w14:paraId="4491FCDC" w14:textId="77777777" w:rsidR="00DD1030" w:rsidRDefault="00DD1030" w:rsidP="00DD1030">
      <w:pPr>
        <w:pStyle w:val="ListParagraph"/>
        <w:rPr>
          <w:b/>
        </w:rPr>
      </w:pPr>
    </w:p>
    <w:p w14:paraId="72C4DAD5" w14:textId="37EF47AF" w:rsidR="00B006FB" w:rsidRPr="00DD1030" w:rsidRDefault="00B006FB" w:rsidP="00DD1030">
      <w:pPr>
        <w:numPr>
          <w:ilvl w:val="0"/>
          <w:numId w:val="1"/>
        </w:numPr>
        <w:spacing w:line="360" w:lineRule="auto"/>
        <w:ind w:left="360"/>
        <w:jc w:val="both"/>
        <w:rPr>
          <w:rFonts w:ascii="Avenir Book" w:hAnsi="Avenir Book"/>
        </w:rPr>
      </w:pPr>
      <w:r w:rsidRPr="00DD1030">
        <w:rPr>
          <w:rFonts w:ascii="Avenir Black" w:hAnsi="Avenir Black"/>
        </w:rPr>
        <w:t xml:space="preserve">The Office of the Public Defender should formally adopt the ABA and </w:t>
      </w:r>
      <w:sdt>
        <w:sdtPr>
          <w:rPr>
            <w:rFonts w:ascii="Avenir Black" w:hAnsi="Avenir Black"/>
          </w:rPr>
          <w:tag w:val="goog_rdk_10"/>
          <w:id w:val="-318493305"/>
        </w:sdtPr>
        <w:sdtEndPr/>
        <w:sdtContent/>
      </w:sdt>
      <w:r w:rsidRPr="00DD1030">
        <w:rPr>
          <w:rFonts w:ascii="Avenir Black" w:hAnsi="Avenir Black"/>
        </w:rPr>
        <w:t>NAPD Principles for public defense.</w:t>
      </w:r>
      <w:r>
        <w:t xml:space="preserve"> </w:t>
      </w:r>
      <w:r w:rsidRPr="00DD1030">
        <w:rPr>
          <w:rFonts w:ascii="Avenir Book" w:hAnsi="Avenir Book"/>
        </w:rPr>
        <w:t xml:space="preserve">We recommend that the </w:t>
      </w:r>
      <w:r w:rsidR="0004792F" w:rsidRPr="00DD1030">
        <w:rPr>
          <w:rFonts w:ascii="Avenir Book" w:hAnsi="Avenir Book"/>
        </w:rPr>
        <w:t xml:space="preserve">Office </w:t>
      </w:r>
      <w:r w:rsidRPr="00DD1030">
        <w:rPr>
          <w:rFonts w:ascii="Avenir Book" w:hAnsi="Avenir Book"/>
        </w:rPr>
        <w:t xml:space="preserve">formally adopt both the </w:t>
      </w:r>
      <w:sdt>
        <w:sdtPr>
          <w:rPr>
            <w:rFonts w:ascii="Avenir Book" w:hAnsi="Avenir Book"/>
          </w:rPr>
          <w:tag w:val="goog_rdk_11"/>
          <w:id w:val="-1244950438"/>
        </w:sdtPr>
        <w:sdtEndPr/>
        <w:sdtContent>
          <w:r w:rsidRPr="00DD1030">
            <w:rPr>
              <w:rFonts w:ascii="Avenir Book" w:hAnsi="Avenir Book"/>
            </w:rPr>
            <w:t>American Bar Association (“</w:t>
          </w:r>
        </w:sdtContent>
      </w:sdt>
      <w:r w:rsidRPr="00DD1030">
        <w:rPr>
          <w:rFonts w:ascii="Avenir Book" w:hAnsi="Avenir Book"/>
        </w:rPr>
        <w:t>ABA</w:t>
      </w:r>
      <w:sdt>
        <w:sdtPr>
          <w:rPr>
            <w:rFonts w:ascii="Avenir Book" w:hAnsi="Avenir Book"/>
          </w:rPr>
          <w:tag w:val="goog_rdk_12"/>
          <w:id w:val="520128011"/>
        </w:sdtPr>
        <w:sdtEndPr/>
        <w:sdtContent>
          <w:r w:rsidRPr="00DD1030">
            <w:rPr>
              <w:rFonts w:ascii="Avenir Book" w:hAnsi="Avenir Book"/>
            </w:rPr>
            <w:t>”)</w:t>
          </w:r>
        </w:sdtContent>
      </w:sdt>
      <w:r w:rsidRPr="00DD1030">
        <w:rPr>
          <w:rFonts w:ascii="Avenir Book" w:hAnsi="Avenir Book"/>
        </w:rPr>
        <w:t xml:space="preserve"> and the N</w:t>
      </w:r>
      <w:r w:rsidR="0004792F" w:rsidRPr="00DD1030">
        <w:rPr>
          <w:rFonts w:ascii="Avenir Book" w:hAnsi="Avenir Book"/>
        </w:rPr>
        <w:t xml:space="preserve">ational </w:t>
      </w:r>
      <w:r w:rsidRPr="00DD1030">
        <w:rPr>
          <w:rFonts w:ascii="Avenir Book" w:hAnsi="Avenir Book"/>
        </w:rPr>
        <w:t>A</w:t>
      </w:r>
      <w:r w:rsidR="0004792F" w:rsidRPr="00DD1030">
        <w:rPr>
          <w:rFonts w:ascii="Avenir Book" w:hAnsi="Avenir Book"/>
        </w:rPr>
        <w:t xml:space="preserve">ssociation for </w:t>
      </w:r>
      <w:r w:rsidRPr="00DD1030">
        <w:rPr>
          <w:rFonts w:ascii="Avenir Book" w:hAnsi="Avenir Book"/>
        </w:rPr>
        <w:t>P</w:t>
      </w:r>
      <w:r w:rsidR="0004792F" w:rsidRPr="00DD1030">
        <w:rPr>
          <w:rFonts w:ascii="Avenir Book" w:hAnsi="Avenir Book"/>
        </w:rPr>
        <w:t xml:space="preserve">ublic </w:t>
      </w:r>
      <w:r w:rsidR="0004792F" w:rsidRPr="00DD1030">
        <w:rPr>
          <w:rFonts w:ascii="Avenir Book" w:hAnsi="Avenir Book"/>
        </w:rPr>
        <w:lastRenderedPageBreak/>
        <w:t>Defense (“NAPD”)</w:t>
      </w:r>
      <w:r w:rsidRPr="00DD1030">
        <w:rPr>
          <w:rFonts w:ascii="Avenir Book" w:hAnsi="Avenir Book"/>
        </w:rPr>
        <w:t xml:space="preserve"> Principles for public defense systems. We also recommend that the Office integrate these principles into their public mission statement and their internal operational documents. These sets of principles will serve as guidance for the </w:t>
      </w:r>
      <w:r w:rsidR="00F00FB3" w:rsidRPr="00DD1030">
        <w:rPr>
          <w:rFonts w:ascii="Avenir Book" w:hAnsi="Avenir Book"/>
        </w:rPr>
        <w:t>O</w:t>
      </w:r>
      <w:r w:rsidRPr="00DD1030">
        <w:rPr>
          <w:rFonts w:ascii="Avenir Book" w:hAnsi="Avenir Book"/>
        </w:rPr>
        <w:t>f</w:t>
      </w:r>
      <w:r w:rsidR="00DD1030">
        <w:rPr>
          <w:rFonts w:ascii="Avenir Book" w:hAnsi="Avenir Book"/>
        </w:rPr>
        <w:t>f</w:t>
      </w:r>
      <w:r w:rsidRPr="00DD1030">
        <w:rPr>
          <w:rFonts w:ascii="Avenir Book" w:hAnsi="Avenir Book"/>
        </w:rPr>
        <w:t>ice’s delivery of indigent defense services</w:t>
      </w:r>
      <w:r w:rsidR="00730EAA" w:rsidRPr="00DD1030">
        <w:rPr>
          <w:rFonts w:ascii="Avenir Book" w:hAnsi="Avenir Book"/>
        </w:rPr>
        <w:t xml:space="preserve"> on both the individual and systemic levels</w:t>
      </w:r>
    </w:p>
    <w:p w14:paraId="3DFCE1AF" w14:textId="77777777" w:rsidR="000F6C1C" w:rsidRDefault="000F6C1C" w:rsidP="001F0F68">
      <w:pPr>
        <w:spacing w:line="480" w:lineRule="auto"/>
        <w:jc w:val="both"/>
        <w:sectPr w:rsidR="000F6C1C">
          <w:endnotePr>
            <w:numFmt w:val="decimal"/>
          </w:endnotePr>
          <w:pgSz w:w="12240" w:h="15840"/>
          <w:pgMar w:top="1440" w:right="1440" w:bottom="1440" w:left="1440" w:header="720" w:footer="720" w:gutter="0"/>
          <w:pgNumType w:start="3"/>
          <w:cols w:space="720"/>
        </w:sectPr>
      </w:pPr>
    </w:p>
    <w:p w14:paraId="296AD895" w14:textId="245C039D" w:rsidR="000F6C1C" w:rsidRDefault="000E2E79" w:rsidP="00DD1030">
      <w:pPr>
        <w:pStyle w:val="Heading"/>
      </w:pPr>
      <w:bookmarkStart w:id="4" w:name="_Toc62730359"/>
      <w:r>
        <w:rPr>
          <w:noProof/>
          <w:sz w:val="10"/>
          <w:szCs w:val="10"/>
        </w:rPr>
        <w:lastRenderedPageBreak/>
        <w:pict w14:anchorId="7ADC088B">
          <v:rect id="_x0000_i1048" alt="" style="width:468pt;height:.05pt;mso-width-percent:0;mso-height-percent:0;mso-width-percent:0;mso-height-percent:0" o:hralign="center" o:hrstd="t" o:hr="t" fillcolor="#a0a0a0" stroked="f"/>
        </w:pict>
      </w:r>
      <w:r w:rsidR="000F6C1C">
        <w:t>BACKGROUND</w:t>
      </w:r>
      <w:bookmarkEnd w:id="4"/>
      <w:r>
        <w:rPr>
          <w:noProof/>
          <w:sz w:val="10"/>
          <w:szCs w:val="10"/>
        </w:rPr>
        <w:pict w14:anchorId="2EBE2ED5">
          <v:rect id="_x0000_i1047" alt="" style="width:468pt;height:.05pt;mso-width-percent:0;mso-height-percent:0;mso-width-percent:0;mso-height-percent:0" o:hralign="center" o:hrstd="t" o:hr="t" fillcolor="#a0a0a0" stroked="f"/>
        </w:pict>
      </w:r>
    </w:p>
    <w:p w14:paraId="03039616" w14:textId="77777777" w:rsidR="000F6C1C" w:rsidRDefault="000F6C1C"/>
    <w:p w14:paraId="3BA1882F" w14:textId="6F9A7625" w:rsidR="00D432FD" w:rsidRPr="00DD1030" w:rsidRDefault="000F6C1C" w:rsidP="00DD1030">
      <w:pPr>
        <w:spacing w:line="360" w:lineRule="auto"/>
        <w:ind w:firstLine="720"/>
        <w:jc w:val="both"/>
        <w:rPr>
          <w:rFonts w:ascii="Avenir Book" w:hAnsi="Avenir Book"/>
        </w:rPr>
      </w:pPr>
      <w:r w:rsidRPr="00DD1030">
        <w:rPr>
          <w:rFonts w:ascii="Avenir Book" w:hAnsi="Avenir Book"/>
        </w:rPr>
        <w:t>The right to counsel is embedded in the Sixth Amendment, which mandates that in “all criminal prosecutions, the accused shall enjoy the right to have… the Assistance of Counsel for his defense.”</w:t>
      </w:r>
      <w:r w:rsidRPr="00DD1030">
        <w:rPr>
          <w:rFonts w:ascii="Avenir Book" w:hAnsi="Avenir Book"/>
          <w:vertAlign w:val="superscript"/>
        </w:rPr>
        <w:endnoteReference w:id="2"/>
      </w:r>
      <w:r w:rsidRPr="00DD1030">
        <w:rPr>
          <w:rFonts w:ascii="Avenir Book" w:hAnsi="Avenir Book"/>
        </w:rPr>
        <w:t xml:space="preserve"> </w:t>
      </w:r>
      <w:r w:rsidR="00D432FD" w:rsidRPr="00DD1030">
        <w:rPr>
          <w:rFonts w:ascii="Avenir Book" w:hAnsi="Avenir Book"/>
        </w:rPr>
        <w:t>T</w:t>
      </w:r>
      <w:r w:rsidRPr="00DD1030">
        <w:rPr>
          <w:rFonts w:ascii="Avenir Book" w:hAnsi="Avenir Book"/>
        </w:rPr>
        <w:t xml:space="preserve">he United States Supreme Court held in </w:t>
      </w:r>
      <w:r w:rsidRPr="00DD1030">
        <w:rPr>
          <w:rFonts w:ascii="Avenir Book" w:hAnsi="Avenir Book"/>
          <w:i/>
        </w:rPr>
        <w:t>Gideon v. Wainwright</w:t>
      </w:r>
      <w:r w:rsidRPr="00DD1030">
        <w:rPr>
          <w:rFonts w:ascii="Avenir Book" w:hAnsi="Avenir Book"/>
        </w:rPr>
        <w:t xml:space="preserve"> that all defendants in criminal cases, regardless of their means, are entitled to legal representation at all critical stages of the proceedings against them.</w:t>
      </w:r>
      <w:r w:rsidRPr="00DD1030">
        <w:rPr>
          <w:rFonts w:ascii="Avenir Book" w:hAnsi="Avenir Book"/>
          <w:vertAlign w:val="superscript"/>
        </w:rPr>
        <w:endnoteReference w:id="3"/>
      </w:r>
      <w:r w:rsidRPr="00DD1030">
        <w:rPr>
          <w:rFonts w:ascii="Avenir Book" w:hAnsi="Avenir Book"/>
        </w:rPr>
        <w:t xml:space="preserve"> </w:t>
      </w:r>
    </w:p>
    <w:p w14:paraId="3EF243C6" w14:textId="260BC39F" w:rsidR="000F6C1C" w:rsidRPr="00DD1030" w:rsidRDefault="000F6C1C" w:rsidP="00DD1030">
      <w:pPr>
        <w:spacing w:line="360" w:lineRule="auto"/>
        <w:ind w:firstLine="720"/>
        <w:jc w:val="both"/>
        <w:rPr>
          <w:rFonts w:ascii="Avenir Book" w:hAnsi="Avenir Book"/>
        </w:rPr>
      </w:pPr>
      <w:r w:rsidRPr="00DD1030">
        <w:rPr>
          <w:rFonts w:ascii="Avenir Book" w:hAnsi="Avenir Book"/>
        </w:rPr>
        <w:t xml:space="preserve">The Court’s ruling in </w:t>
      </w:r>
      <w:r w:rsidRPr="00DD1030">
        <w:rPr>
          <w:rFonts w:ascii="Avenir Book" w:hAnsi="Avenir Book"/>
          <w:i/>
        </w:rPr>
        <w:t>Gideon</w:t>
      </w:r>
      <w:r w:rsidRPr="00DD1030">
        <w:rPr>
          <w:rFonts w:ascii="Avenir Book" w:hAnsi="Avenir Book"/>
        </w:rPr>
        <w:t xml:space="preserve"> is generally regarded as having “consolidated a right to counsel at trial in the Sixth Amendment,”</w:t>
      </w:r>
      <w:r w:rsidRPr="00DD1030">
        <w:rPr>
          <w:rFonts w:ascii="Avenir Book" w:hAnsi="Avenir Book"/>
          <w:vertAlign w:val="superscript"/>
        </w:rPr>
        <w:endnoteReference w:id="4"/>
      </w:r>
      <w:r w:rsidRPr="00DD1030">
        <w:rPr>
          <w:rFonts w:ascii="Avenir Book" w:hAnsi="Avenir Book"/>
        </w:rPr>
        <w:t xml:space="preserve"> whether the defendant is being tried in state or federal court,</w:t>
      </w:r>
      <w:r w:rsidR="00A07F37" w:rsidRPr="00DD1030">
        <w:rPr>
          <w:rFonts w:ascii="Avenir Book" w:hAnsi="Avenir Book"/>
          <w:vertAlign w:val="superscript"/>
        </w:rPr>
        <w:endnoteReference w:id="5"/>
      </w:r>
      <w:r w:rsidRPr="00DD1030">
        <w:rPr>
          <w:rFonts w:ascii="Avenir Book" w:hAnsi="Avenir Book"/>
        </w:rPr>
        <w:t xml:space="preserve"> </w:t>
      </w:r>
      <w:r w:rsidR="00D432FD" w:rsidRPr="00DD1030">
        <w:rPr>
          <w:rFonts w:ascii="Avenir Book" w:hAnsi="Avenir Book"/>
        </w:rPr>
        <w:t>on a felony or misdemeanor,</w:t>
      </w:r>
      <w:r w:rsidR="00D432FD" w:rsidRPr="00DD1030">
        <w:rPr>
          <w:rFonts w:ascii="Avenir Book" w:hAnsi="Avenir Book"/>
          <w:vertAlign w:val="superscript"/>
        </w:rPr>
        <w:endnoteReference w:id="6"/>
      </w:r>
      <w:r w:rsidR="00D432FD" w:rsidRPr="00DD1030">
        <w:rPr>
          <w:rFonts w:ascii="Avenir Book" w:hAnsi="Avenir Book"/>
        </w:rPr>
        <w:t xml:space="preserve"> </w:t>
      </w:r>
      <w:r w:rsidRPr="00DD1030">
        <w:rPr>
          <w:rFonts w:ascii="Avenir Book" w:hAnsi="Avenir Book"/>
        </w:rPr>
        <w:t>or whether counsel is retained or appointed.</w:t>
      </w:r>
      <w:r w:rsidRPr="00DD1030">
        <w:rPr>
          <w:rFonts w:ascii="Avenir Book" w:hAnsi="Avenir Book"/>
          <w:vertAlign w:val="superscript"/>
        </w:rPr>
        <w:endnoteReference w:id="7"/>
      </w:r>
      <w:r w:rsidR="00D432FD" w:rsidRPr="00DD1030">
        <w:rPr>
          <w:rFonts w:ascii="Avenir Book" w:hAnsi="Avenir Book"/>
        </w:rPr>
        <w:t xml:space="preserve"> While criminal defendants may </w:t>
      </w:r>
      <w:r w:rsidRPr="00DD1030">
        <w:rPr>
          <w:rFonts w:ascii="Avenir Book" w:hAnsi="Avenir Book"/>
        </w:rPr>
        <w:t xml:space="preserve">retain private defense counsel if they can afford to do so, </w:t>
      </w:r>
      <w:r w:rsidRPr="00DD1030">
        <w:rPr>
          <w:rFonts w:ascii="Avenir Book" w:hAnsi="Avenir Book"/>
          <w:i/>
        </w:rPr>
        <w:t>Gideon</w:t>
      </w:r>
      <w:r w:rsidRPr="00DD1030">
        <w:rPr>
          <w:rFonts w:ascii="Avenir Book" w:hAnsi="Avenir Book"/>
        </w:rPr>
        <w:t xml:space="preserve"> mandates that all indigent persons facing criminal prosecution</w:t>
      </w:r>
      <w:r w:rsidR="00664F80" w:rsidRPr="00DD1030">
        <w:rPr>
          <w:rFonts w:ascii="Avenir Book" w:hAnsi="Avenir Book"/>
        </w:rPr>
        <w:t xml:space="preserve"> and possible imprisonment</w:t>
      </w:r>
      <w:r w:rsidRPr="00DD1030">
        <w:rPr>
          <w:rFonts w:ascii="Avenir Book" w:hAnsi="Avenir Book"/>
        </w:rPr>
        <w:t xml:space="preserve"> be provided an attorney under the rationale that, “any person </w:t>
      </w:r>
      <w:proofErr w:type="spellStart"/>
      <w:r w:rsidRPr="00DD1030">
        <w:rPr>
          <w:rFonts w:ascii="Avenir Book" w:hAnsi="Avenir Book"/>
        </w:rPr>
        <w:t>haled</w:t>
      </w:r>
      <w:proofErr w:type="spellEnd"/>
      <w:r w:rsidRPr="00DD1030">
        <w:rPr>
          <w:rFonts w:ascii="Avenir Book" w:hAnsi="Avenir Book"/>
        </w:rPr>
        <w:t xml:space="preserve"> into court, who is too poor to hire a lawyer, cannot be assured a fair trial unless counsel is provided for him.”</w:t>
      </w:r>
      <w:r w:rsidRPr="00DD1030">
        <w:rPr>
          <w:rFonts w:ascii="Avenir Book" w:hAnsi="Avenir Book"/>
          <w:vertAlign w:val="superscript"/>
        </w:rPr>
        <w:endnoteReference w:id="8"/>
      </w:r>
      <w:r w:rsidRPr="00DD1030">
        <w:rPr>
          <w:rFonts w:ascii="Avenir Book" w:hAnsi="Avenir Book"/>
        </w:rPr>
        <w:t xml:space="preserve"> </w:t>
      </w:r>
    </w:p>
    <w:p w14:paraId="6F1EE575" w14:textId="77777777" w:rsidR="000F6C1C" w:rsidRDefault="00A07F37" w:rsidP="00DD1030">
      <w:pPr>
        <w:spacing w:line="360" w:lineRule="auto"/>
        <w:ind w:firstLine="720"/>
        <w:jc w:val="both"/>
      </w:pPr>
      <w:r w:rsidRPr="00DD1030">
        <w:rPr>
          <w:rFonts w:ascii="Avenir Book" w:hAnsi="Avenir Book"/>
        </w:rPr>
        <w:t>The right to counsel attaches “at or after the time that judicial proceedings have been initiated against [the criminal defendant], ‘whether by formal charge, preliminary hearing, indictment, information, or arraignment.’”</w:t>
      </w:r>
      <w:r w:rsidRPr="00DD1030">
        <w:rPr>
          <w:rFonts w:ascii="Avenir Book" w:hAnsi="Avenir Book"/>
          <w:vertAlign w:val="superscript"/>
        </w:rPr>
        <w:endnoteReference w:id="9"/>
      </w:r>
      <w:r w:rsidR="000F6C1C" w:rsidRPr="00DD1030">
        <w:rPr>
          <w:rFonts w:ascii="Avenir Book" w:hAnsi="Avenir Book"/>
        </w:rPr>
        <w:t xml:space="preserve"> From this point on, assistance of counsel is required “at every step in the proceedings” against the defendant, whether informal or formal.</w:t>
      </w:r>
      <w:r w:rsidR="000F6C1C" w:rsidRPr="00DD1030">
        <w:rPr>
          <w:rFonts w:ascii="Avenir Book" w:hAnsi="Avenir Book"/>
          <w:vertAlign w:val="superscript"/>
        </w:rPr>
        <w:endnoteReference w:id="10"/>
      </w:r>
      <w:r w:rsidR="000F6C1C" w:rsidRPr="00DD1030">
        <w:rPr>
          <w:rFonts w:ascii="Avenir Book" w:hAnsi="Avenir Book"/>
        </w:rPr>
        <w:t xml:space="preserve"> This right includes “pretrial confrontations” such as arraignment.</w:t>
      </w:r>
      <w:r w:rsidR="000F6C1C" w:rsidRPr="00DD1030">
        <w:rPr>
          <w:rFonts w:ascii="Avenir Book" w:hAnsi="Avenir Book"/>
          <w:vertAlign w:val="superscript"/>
        </w:rPr>
        <w:endnoteReference w:id="11"/>
      </w:r>
      <w:r w:rsidR="000F6C1C" w:rsidRPr="00DD1030">
        <w:rPr>
          <w:rFonts w:ascii="Avenir Book" w:hAnsi="Avenir Book"/>
        </w:rPr>
        <w:t xml:space="preserve"> It exists throughout the adversarial process against the defendant and extends beyond the initial trial to sentencing and any direct appeal as of right.</w:t>
      </w:r>
      <w:r w:rsidR="000F6C1C" w:rsidRPr="00DD1030">
        <w:rPr>
          <w:rFonts w:ascii="Avenir Book" w:hAnsi="Avenir Book"/>
          <w:vertAlign w:val="superscript"/>
        </w:rPr>
        <w:endnoteReference w:id="12"/>
      </w:r>
      <w:r w:rsidR="000F6C1C">
        <w:t xml:space="preserve"> </w:t>
      </w:r>
    </w:p>
    <w:p w14:paraId="0F55B43D" w14:textId="280A29B0" w:rsidR="000F6C1C" w:rsidRPr="00DD1030" w:rsidRDefault="000F6C1C" w:rsidP="00DD1030">
      <w:pPr>
        <w:spacing w:line="360" w:lineRule="auto"/>
        <w:ind w:firstLine="720"/>
        <w:jc w:val="both"/>
        <w:rPr>
          <w:rFonts w:ascii="Avenir Book" w:hAnsi="Avenir Book"/>
        </w:rPr>
      </w:pPr>
      <w:r w:rsidRPr="00DD1030">
        <w:rPr>
          <w:rFonts w:ascii="Avenir Book" w:hAnsi="Avenir Book"/>
        </w:rPr>
        <w:t xml:space="preserve">The right to counsel has been expanded and further defined since </w:t>
      </w:r>
      <w:r w:rsidRPr="00DD1030">
        <w:rPr>
          <w:rFonts w:ascii="Avenir Book" w:hAnsi="Avenir Book"/>
          <w:i/>
        </w:rPr>
        <w:t>Gideon</w:t>
      </w:r>
      <w:r w:rsidRPr="00DD1030">
        <w:rPr>
          <w:rFonts w:ascii="Avenir Book" w:hAnsi="Avenir Book"/>
        </w:rPr>
        <w:t xml:space="preserve">’s mandate. </w:t>
      </w:r>
      <w:r w:rsidRPr="00DD1030">
        <w:rPr>
          <w:rFonts w:ascii="Avenir Book" w:hAnsi="Avenir Book"/>
          <w:color w:val="000000"/>
        </w:rPr>
        <w:t xml:space="preserve">Attorneys providing indigent defense services must provide representation </w:t>
      </w:r>
      <w:r w:rsidRPr="00DD1030">
        <w:rPr>
          <w:rFonts w:ascii="Avenir Book" w:hAnsi="Avenir Book"/>
          <w:color w:val="000000"/>
        </w:rPr>
        <w:lastRenderedPageBreak/>
        <w:t>that is both “adequate” and “independent.”</w:t>
      </w:r>
      <w:r w:rsidRPr="00DD1030">
        <w:rPr>
          <w:rFonts w:ascii="Avenir Book" w:hAnsi="Avenir Book"/>
          <w:color w:val="000000"/>
          <w:vertAlign w:val="superscript"/>
        </w:rPr>
        <w:endnoteReference w:id="13"/>
      </w:r>
      <w:r w:rsidRPr="00DD1030">
        <w:rPr>
          <w:rFonts w:ascii="Avenir Book" w:hAnsi="Avenir Book"/>
          <w:color w:val="000000"/>
        </w:rPr>
        <w:t xml:space="preserve"> Thus, </w:t>
      </w:r>
      <w:r w:rsidRPr="00DD1030">
        <w:rPr>
          <w:rFonts w:ascii="Avenir Book" w:hAnsi="Avenir Book"/>
        </w:rPr>
        <w:t xml:space="preserve">the right to counsel is not merely the formal right to have an attorney assigned to each indigent defendant’s case.  Instead, the right to counsel is the right to receive the </w:t>
      </w:r>
      <w:sdt>
        <w:sdtPr>
          <w:rPr>
            <w:rFonts w:ascii="Avenir Book" w:hAnsi="Avenir Book"/>
          </w:rPr>
          <w:tag w:val="goog_rdk_15"/>
          <w:id w:val="-333610838"/>
        </w:sdtPr>
        <w:sdtEndPr/>
        <w:sdtContent/>
      </w:sdt>
      <w:r w:rsidRPr="00DD1030">
        <w:rPr>
          <w:rFonts w:ascii="Avenir Book" w:hAnsi="Avenir Book"/>
        </w:rPr>
        <w:t>effective assistance of competent counsel.</w:t>
      </w:r>
      <w:r w:rsidRPr="00DD1030">
        <w:rPr>
          <w:rFonts w:ascii="Avenir Book" w:hAnsi="Avenir Book"/>
          <w:vertAlign w:val="superscript"/>
        </w:rPr>
        <w:endnoteReference w:id="14"/>
      </w:r>
      <w:r w:rsidRPr="00DD1030">
        <w:rPr>
          <w:rFonts w:ascii="Avenir Book" w:hAnsi="Avenir Book"/>
        </w:rPr>
        <w:t xml:space="preserve"> In this way, a denial of counsel is not merely interpreted to mean the physical absence of counsel — a constructive denial can occur when counsel is present but</w:t>
      </w:r>
      <w:r w:rsidR="00A9376D" w:rsidRPr="00DD1030">
        <w:rPr>
          <w:rFonts w:ascii="Avenir Book" w:hAnsi="Avenir Book"/>
        </w:rPr>
        <w:t>,</w:t>
      </w:r>
      <w:r w:rsidRPr="00DD1030">
        <w:rPr>
          <w:rFonts w:ascii="Avenir Book" w:hAnsi="Avenir Book"/>
        </w:rPr>
        <w:t xml:space="preserve"> due to systemic issues or deficiencies, cannot provide meaningful </w:t>
      </w:r>
      <w:r w:rsidR="00992E09" w:rsidRPr="00DD1030">
        <w:rPr>
          <w:rFonts w:ascii="Avenir Book" w:hAnsi="Avenir Book"/>
        </w:rPr>
        <w:t xml:space="preserve">or adequate </w:t>
      </w:r>
      <w:r w:rsidRPr="00DD1030">
        <w:rPr>
          <w:rFonts w:ascii="Avenir Book" w:hAnsi="Avenir Book"/>
        </w:rPr>
        <w:t>representation.</w:t>
      </w:r>
      <w:r w:rsidRPr="00DD1030">
        <w:rPr>
          <w:rFonts w:ascii="Avenir Book" w:hAnsi="Avenir Book"/>
          <w:vertAlign w:val="superscript"/>
        </w:rPr>
        <w:endnoteReference w:id="15"/>
      </w:r>
      <w:r w:rsidRPr="00DD1030">
        <w:rPr>
          <w:rFonts w:ascii="Avenir Book" w:hAnsi="Avenir Book"/>
        </w:rPr>
        <w:t xml:space="preserve"> </w:t>
      </w:r>
    </w:p>
    <w:p w14:paraId="65F05004" w14:textId="7A798D22" w:rsidR="005D26D1" w:rsidRPr="00DD1030" w:rsidRDefault="005D26D1" w:rsidP="00DD1030">
      <w:pPr>
        <w:spacing w:line="360" w:lineRule="auto"/>
        <w:ind w:firstLine="360"/>
        <w:jc w:val="both"/>
        <w:rPr>
          <w:rFonts w:ascii="Avenir Book" w:hAnsi="Avenir Book"/>
        </w:rPr>
      </w:pPr>
      <w:r w:rsidRPr="00DD1030">
        <w:rPr>
          <w:rFonts w:ascii="Avenir Book" w:hAnsi="Avenir Book"/>
          <w:color w:val="000000"/>
        </w:rPr>
        <w:t xml:space="preserve">Beyond individual client representation, the right to counsel is also evaluated from a systemic lens. </w:t>
      </w:r>
      <w:r w:rsidR="0097648B" w:rsidRPr="00DD1030">
        <w:rPr>
          <w:rFonts w:ascii="Avenir Book" w:hAnsi="Avenir Book"/>
          <w:color w:val="000000"/>
        </w:rPr>
        <w:t xml:space="preserve">In 2016, the Pennsylvania Supreme Court confirmed this in </w:t>
      </w:r>
      <w:proofErr w:type="spellStart"/>
      <w:r w:rsidR="0097648B" w:rsidRPr="00DD1030">
        <w:rPr>
          <w:rFonts w:ascii="Avenir Book" w:hAnsi="Avenir Book"/>
          <w:i/>
          <w:iCs/>
          <w:color w:val="000000"/>
        </w:rPr>
        <w:t>Kuren</w:t>
      </w:r>
      <w:proofErr w:type="spellEnd"/>
      <w:r w:rsidR="0097648B" w:rsidRPr="00DD1030">
        <w:rPr>
          <w:rFonts w:ascii="Avenir Book" w:hAnsi="Avenir Book"/>
          <w:i/>
          <w:iCs/>
          <w:color w:val="000000"/>
        </w:rPr>
        <w:t xml:space="preserve"> v. </w:t>
      </w:r>
      <w:r w:rsidR="0051364B">
        <w:rPr>
          <w:rFonts w:ascii="Avenir Book" w:hAnsi="Avenir Book"/>
          <w:i/>
          <w:iCs/>
          <w:color w:val="000000"/>
        </w:rPr>
        <w:t>Luzerne</w:t>
      </w:r>
      <w:r w:rsidR="0097648B" w:rsidRPr="00DD1030">
        <w:rPr>
          <w:rFonts w:ascii="Avenir Book" w:hAnsi="Avenir Book"/>
          <w:i/>
          <w:iCs/>
          <w:color w:val="000000"/>
        </w:rPr>
        <w:t xml:space="preserve"> County</w:t>
      </w:r>
      <w:r w:rsidR="0097648B" w:rsidRPr="00DD1030">
        <w:rPr>
          <w:rFonts w:ascii="Avenir Book" w:hAnsi="Avenir Book"/>
          <w:color w:val="000000"/>
        </w:rPr>
        <w:t xml:space="preserve">, holding that a class of indigent defendants may sue a county for prospective, systemic violations of the </w:t>
      </w:r>
      <w:r w:rsidR="00983C01">
        <w:rPr>
          <w:rFonts w:ascii="Avenir Book" w:hAnsi="Avenir Book"/>
          <w:color w:val="000000"/>
        </w:rPr>
        <w:t>Sixth</w:t>
      </w:r>
      <w:r w:rsidR="0097648B" w:rsidRPr="00DD1030">
        <w:rPr>
          <w:rFonts w:ascii="Avenir Book" w:hAnsi="Avenir Book"/>
          <w:color w:val="000000"/>
        </w:rPr>
        <w:t xml:space="preserve"> Amendment right to counsel on the ground</w:t>
      </w:r>
      <w:r w:rsidR="00983C01">
        <w:rPr>
          <w:rFonts w:ascii="Avenir Book" w:hAnsi="Avenir Book"/>
          <w:color w:val="000000"/>
        </w:rPr>
        <w:t>s</w:t>
      </w:r>
      <w:r w:rsidR="0097648B" w:rsidRPr="00DD1030">
        <w:rPr>
          <w:rFonts w:ascii="Avenir Book" w:hAnsi="Avenir Book"/>
          <w:color w:val="000000"/>
        </w:rPr>
        <w:t xml:space="preserve"> that the county has not adequately funded its public defender office. </w:t>
      </w:r>
      <w:r w:rsidRPr="00DD1030">
        <w:rPr>
          <w:rFonts w:ascii="Avenir Book" w:hAnsi="Avenir Book"/>
        </w:rPr>
        <w:t xml:space="preserve">What we can take from reading </w:t>
      </w:r>
      <w:r w:rsidRPr="00DD1030">
        <w:rPr>
          <w:rFonts w:ascii="Avenir Book" w:hAnsi="Avenir Book"/>
          <w:i/>
        </w:rPr>
        <w:t>Gideon</w:t>
      </w:r>
      <w:r w:rsidRPr="00DD1030">
        <w:rPr>
          <w:rFonts w:ascii="Avenir Book" w:hAnsi="Avenir Book"/>
        </w:rPr>
        <w:t xml:space="preserve"> and its progeny, alongside </w:t>
      </w:r>
      <w:proofErr w:type="spellStart"/>
      <w:r w:rsidRPr="00DD1030">
        <w:rPr>
          <w:rFonts w:ascii="Avenir Book" w:hAnsi="Avenir Book"/>
          <w:i/>
        </w:rPr>
        <w:t>Kuren</w:t>
      </w:r>
      <w:proofErr w:type="spellEnd"/>
      <w:r w:rsidRPr="00DD1030">
        <w:rPr>
          <w:rFonts w:ascii="Avenir Book" w:hAnsi="Avenir Book"/>
          <w:i/>
        </w:rPr>
        <w:t>,</w:t>
      </w:r>
      <w:r w:rsidRPr="00DD1030">
        <w:rPr>
          <w:rFonts w:ascii="Avenir Book" w:hAnsi="Avenir Book"/>
        </w:rPr>
        <w:t xml:space="preserve"> is that indigent defendants are entitled not just to an individual attorney who meets prevailing professional norms, but also an indigent defense system that meets those norms as well.</w:t>
      </w:r>
    </w:p>
    <w:p w14:paraId="7638CDA9" w14:textId="1800F6B3" w:rsidR="00EB58C1" w:rsidRDefault="00A9376D" w:rsidP="000366F8">
      <w:pPr>
        <w:spacing w:line="360" w:lineRule="auto"/>
        <w:ind w:firstLine="720"/>
        <w:jc w:val="both"/>
      </w:pPr>
      <w:r w:rsidRPr="00DD1030">
        <w:rPr>
          <w:rFonts w:ascii="Avenir Book" w:hAnsi="Avenir Book"/>
        </w:rPr>
        <w:t>Constitutional doctrine, however</w:t>
      </w:r>
      <w:r w:rsidR="000F6C1C" w:rsidRPr="00DD1030">
        <w:rPr>
          <w:rFonts w:ascii="Avenir Book" w:hAnsi="Avenir Book"/>
        </w:rPr>
        <w:t xml:space="preserve">, </w:t>
      </w:r>
      <w:r w:rsidRPr="00DD1030">
        <w:rPr>
          <w:rFonts w:ascii="Avenir Book" w:hAnsi="Avenir Book"/>
        </w:rPr>
        <w:t>does not</w:t>
      </w:r>
      <w:r w:rsidR="000F6C1C" w:rsidRPr="00DD1030">
        <w:rPr>
          <w:rFonts w:ascii="Avenir Book" w:hAnsi="Avenir Book"/>
        </w:rPr>
        <w:t xml:space="preserve"> guide states or local governments on </w:t>
      </w:r>
      <w:r w:rsidR="000F6C1C" w:rsidRPr="00DD1030">
        <w:rPr>
          <w:rFonts w:ascii="Avenir Book" w:hAnsi="Avenir Book"/>
          <w:i/>
        </w:rPr>
        <w:t>how</w:t>
      </w:r>
      <w:r w:rsidR="000F6C1C" w:rsidRPr="00DD1030">
        <w:rPr>
          <w:rFonts w:ascii="Avenir Book" w:hAnsi="Avenir Book"/>
        </w:rPr>
        <w:t xml:space="preserve"> </w:t>
      </w:r>
      <w:r w:rsidRPr="00DD1030">
        <w:rPr>
          <w:rFonts w:ascii="Avenir Book" w:hAnsi="Avenir Book"/>
        </w:rPr>
        <w:t>to implement these requirements</w:t>
      </w:r>
      <w:r w:rsidR="000F6C1C" w:rsidRPr="00DD1030">
        <w:rPr>
          <w:rFonts w:ascii="Avenir Book" w:hAnsi="Avenir Book"/>
        </w:rPr>
        <w:t>. Thus, states across the nation have taken a variety of approaches in determining how they provide defense counsel for indigent defendants.</w:t>
      </w:r>
      <w:r w:rsidR="000F6C1C">
        <w:t xml:space="preserve"> </w:t>
      </w:r>
      <w:bookmarkStart w:id="5" w:name="_Toc62730360"/>
    </w:p>
    <w:p w14:paraId="7804F2D0" w14:textId="77777777" w:rsidR="000366F8" w:rsidRPr="00EB58C1" w:rsidRDefault="000366F8" w:rsidP="000366F8">
      <w:pPr>
        <w:spacing w:line="360" w:lineRule="auto"/>
        <w:ind w:firstLine="720"/>
        <w:jc w:val="both"/>
      </w:pPr>
    </w:p>
    <w:p w14:paraId="4EE3F4F0" w14:textId="7C36C33A" w:rsidR="004A6FB5" w:rsidRPr="004A6FB5" w:rsidRDefault="004A6FB5" w:rsidP="001161E1">
      <w:pPr>
        <w:pStyle w:val="Head3"/>
      </w:pPr>
      <w:r>
        <w:t>National Public Defense Standards</w:t>
      </w:r>
      <w:bookmarkEnd w:id="5"/>
    </w:p>
    <w:p w14:paraId="1A386824" w14:textId="77777777" w:rsidR="004A6FB5" w:rsidRPr="00EB58C1" w:rsidRDefault="004A6FB5" w:rsidP="00EB58C1">
      <w:pPr>
        <w:spacing w:line="360" w:lineRule="auto"/>
        <w:ind w:firstLine="720"/>
        <w:jc w:val="both"/>
        <w:rPr>
          <w:rFonts w:ascii="Avenir Book" w:hAnsi="Avenir Book"/>
        </w:rPr>
      </w:pPr>
      <w:r w:rsidRPr="00EB58C1">
        <w:rPr>
          <w:rFonts w:ascii="Avenir Book" w:hAnsi="Avenir Book"/>
        </w:rPr>
        <w:t xml:space="preserve">All lawyers in the United States are bound by the United States Constitution, as well as the laws and ethical rules that govern the jurisdiction in which they practice. Public defenders are also advised by national standards and professionally accepted norms created by leading professional legal organizations, which provide additional guidance for states and local governments on how to model their public defense </w:t>
      </w:r>
      <w:sdt>
        <w:sdtPr>
          <w:rPr>
            <w:rFonts w:ascii="Avenir Book" w:hAnsi="Avenir Book"/>
          </w:rPr>
          <w:tag w:val="goog_rdk_58"/>
          <w:id w:val="812384409"/>
        </w:sdtPr>
        <w:sdtEndPr/>
        <w:sdtContent/>
      </w:sdt>
      <w:r w:rsidRPr="00EB58C1">
        <w:rPr>
          <w:rFonts w:ascii="Avenir Book" w:hAnsi="Avenir Book"/>
        </w:rPr>
        <w:t>systems.</w:t>
      </w:r>
      <w:r w:rsidRPr="00EB58C1">
        <w:rPr>
          <w:rFonts w:ascii="Avenir Book" w:hAnsi="Avenir Book"/>
          <w:vertAlign w:val="superscript"/>
        </w:rPr>
        <w:endnoteReference w:id="16"/>
      </w:r>
      <w:r w:rsidRPr="00EB58C1">
        <w:rPr>
          <w:rFonts w:ascii="Avenir Book" w:hAnsi="Avenir Book"/>
        </w:rPr>
        <w:t xml:space="preserve"> </w:t>
      </w:r>
    </w:p>
    <w:p w14:paraId="00FFF577" w14:textId="3AD684CD" w:rsidR="004A6FB5" w:rsidRPr="00EB58C1" w:rsidRDefault="00CC2055" w:rsidP="00EB58C1">
      <w:pPr>
        <w:spacing w:line="360" w:lineRule="auto"/>
        <w:ind w:firstLine="720"/>
        <w:jc w:val="both"/>
        <w:rPr>
          <w:rFonts w:ascii="Avenir Book" w:hAnsi="Avenir Book"/>
        </w:rPr>
      </w:pPr>
      <w:r w:rsidRPr="00EB58C1">
        <w:rPr>
          <w:rFonts w:ascii="Avenir Book" w:hAnsi="Avenir Book"/>
        </w:rPr>
        <w:lastRenderedPageBreak/>
        <w:t>The</w:t>
      </w:r>
      <w:r w:rsidR="004A6FB5" w:rsidRPr="00EB58C1">
        <w:rPr>
          <w:rFonts w:ascii="Avenir Book" w:hAnsi="Avenir Book"/>
        </w:rPr>
        <w:t xml:space="preserve"> “Model Rules of Professional Conduct” </w:t>
      </w:r>
      <w:r w:rsidRPr="00EB58C1">
        <w:rPr>
          <w:rFonts w:ascii="Avenir Book" w:hAnsi="Avenir Book"/>
        </w:rPr>
        <w:t>(</w:t>
      </w:r>
      <w:r w:rsidR="004A6FB5" w:rsidRPr="00EB58C1">
        <w:rPr>
          <w:rFonts w:ascii="Avenir Book" w:hAnsi="Avenir Book"/>
        </w:rPr>
        <w:t xml:space="preserve">or “MRPC”) serve as the </w:t>
      </w:r>
      <w:r w:rsidRPr="00EB58C1">
        <w:rPr>
          <w:rFonts w:ascii="Avenir Book" w:hAnsi="Avenir Book"/>
        </w:rPr>
        <w:t>prototypical</w:t>
      </w:r>
      <w:r w:rsidR="004A6FB5" w:rsidRPr="00EB58C1">
        <w:rPr>
          <w:rFonts w:ascii="Avenir Book" w:hAnsi="Avenir Book"/>
        </w:rPr>
        <w:t xml:space="preserve"> ethical rules for most jurisdictions in the United States.</w:t>
      </w:r>
      <w:r w:rsidR="004A6FB5" w:rsidRPr="00EB58C1">
        <w:rPr>
          <w:rFonts w:ascii="Avenir Book" w:hAnsi="Avenir Book"/>
          <w:vertAlign w:val="superscript"/>
        </w:rPr>
        <w:endnoteReference w:id="17"/>
      </w:r>
      <w:r w:rsidR="004A6FB5" w:rsidRPr="00EB58C1">
        <w:rPr>
          <w:rFonts w:ascii="Avenir Book" w:hAnsi="Avenir Book"/>
        </w:rPr>
        <w:t xml:space="preserve"> Pennsylvania’s Rules of Professional Conduct (the “</w:t>
      </w:r>
      <w:proofErr w:type="spellStart"/>
      <w:r w:rsidR="004A6FB5" w:rsidRPr="00EB58C1">
        <w:rPr>
          <w:rFonts w:ascii="Avenir Book" w:hAnsi="Avenir Book"/>
        </w:rPr>
        <w:t>PaRPC</w:t>
      </w:r>
      <w:proofErr w:type="spellEnd"/>
      <w:r w:rsidR="004A6FB5" w:rsidRPr="00EB58C1">
        <w:rPr>
          <w:rFonts w:ascii="Avenir Book" w:hAnsi="Avenir Book"/>
        </w:rPr>
        <w:t xml:space="preserve">”), which were derived from the MRPC, outline what public defenders throughout Pennsylvania need to do to uphold the constitutional requirements pertaining to indigent defense. Pennsylvania lawyers must abide by the </w:t>
      </w:r>
      <w:proofErr w:type="spellStart"/>
      <w:r w:rsidR="004A6FB5" w:rsidRPr="00EB58C1">
        <w:rPr>
          <w:rFonts w:ascii="Avenir Book" w:hAnsi="Avenir Book"/>
        </w:rPr>
        <w:t>PaRPC</w:t>
      </w:r>
      <w:proofErr w:type="spellEnd"/>
      <w:r w:rsidR="004A6FB5" w:rsidRPr="00EB58C1">
        <w:rPr>
          <w:rFonts w:ascii="Avenir Book" w:hAnsi="Avenir Book"/>
        </w:rPr>
        <w:t xml:space="preserve"> as a matter of professional ethics. Model Rules 1.1 (Competence</w:t>
      </w:r>
      <w:r w:rsidR="004A6FB5" w:rsidRPr="00EB58C1">
        <w:rPr>
          <w:rFonts w:ascii="Avenir Book" w:hAnsi="Avenir Book"/>
          <w:vertAlign w:val="superscript"/>
        </w:rPr>
        <w:endnoteReference w:id="18"/>
      </w:r>
      <w:r w:rsidR="004A6FB5" w:rsidRPr="00EB58C1">
        <w:rPr>
          <w:rFonts w:ascii="Avenir Book" w:hAnsi="Avenir Book"/>
        </w:rPr>
        <w:t>), 1.3 (Diligence</w:t>
      </w:r>
      <w:r w:rsidR="004A6FB5" w:rsidRPr="00EB58C1">
        <w:rPr>
          <w:rFonts w:ascii="Avenir Book" w:hAnsi="Avenir Book"/>
          <w:vertAlign w:val="superscript"/>
        </w:rPr>
        <w:endnoteReference w:id="19"/>
      </w:r>
      <w:r w:rsidR="004A6FB5" w:rsidRPr="00EB58C1">
        <w:rPr>
          <w:rFonts w:ascii="Avenir Book" w:hAnsi="Avenir Book"/>
        </w:rPr>
        <w:t>), 1.4 (Communication</w:t>
      </w:r>
      <w:r w:rsidR="004A6FB5" w:rsidRPr="00EB58C1">
        <w:rPr>
          <w:rFonts w:ascii="Avenir Book" w:hAnsi="Avenir Book"/>
          <w:vertAlign w:val="superscript"/>
        </w:rPr>
        <w:endnoteReference w:id="20"/>
      </w:r>
      <w:r w:rsidR="004A6FB5" w:rsidRPr="00EB58C1">
        <w:rPr>
          <w:rFonts w:ascii="Avenir Book" w:hAnsi="Avenir Book"/>
        </w:rPr>
        <w:t>), and 5.1 (Responsibilities of a Partner or Supervisory Lawyer</w:t>
      </w:r>
      <w:r w:rsidR="004A6FB5" w:rsidRPr="00EB58C1">
        <w:rPr>
          <w:rFonts w:ascii="Avenir Book" w:hAnsi="Avenir Book"/>
          <w:vertAlign w:val="superscript"/>
        </w:rPr>
        <w:endnoteReference w:id="21"/>
      </w:r>
      <w:r w:rsidR="004A6FB5" w:rsidRPr="00EB58C1">
        <w:rPr>
          <w:rFonts w:ascii="Avenir Book" w:hAnsi="Avenir Book"/>
        </w:rPr>
        <w:t>) are frequently referred to by public defense practitioners and the organizations to which they belong.</w:t>
      </w:r>
    </w:p>
    <w:p w14:paraId="7678752C" w14:textId="6DFF3759" w:rsidR="004A6FB5" w:rsidRPr="00EB58C1" w:rsidRDefault="004A6FB5" w:rsidP="00EB58C1">
      <w:pPr>
        <w:spacing w:line="360" w:lineRule="auto"/>
        <w:ind w:firstLine="720"/>
        <w:jc w:val="both"/>
        <w:rPr>
          <w:rFonts w:ascii="Avenir Book" w:hAnsi="Avenir Book"/>
        </w:rPr>
      </w:pPr>
      <w:r w:rsidRPr="00EB58C1">
        <w:rPr>
          <w:rFonts w:ascii="Avenir Book" w:hAnsi="Avenir Book"/>
        </w:rPr>
        <w:t>In addition to ethical obligations, there are also aspirational national standards for public defender organizations. The A</w:t>
      </w:r>
      <w:r w:rsidR="000724AA" w:rsidRPr="00EB58C1">
        <w:rPr>
          <w:rFonts w:ascii="Avenir Book" w:hAnsi="Avenir Book"/>
        </w:rPr>
        <w:t xml:space="preserve">merican </w:t>
      </w:r>
      <w:r w:rsidRPr="00EB58C1">
        <w:rPr>
          <w:rFonts w:ascii="Avenir Book" w:hAnsi="Avenir Book"/>
        </w:rPr>
        <w:t>B</w:t>
      </w:r>
      <w:r w:rsidR="000724AA" w:rsidRPr="00EB58C1">
        <w:rPr>
          <w:rFonts w:ascii="Avenir Book" w:hAnsi="Avenir Book"/>
        </w:rPr>
        <w:t xml:space="preserve">ar </w:t>
      </w:r>
      <w:r w:rsidRPr="00EB58C1">
        <w:rPr>
          <w:rFonts w:ascii="Avenir Book" w:hAnsi="Avenir Book"/>
        </w:rPr>
        <w:t>A</w:t>
      </w:r>
      <w:r w:rsidR="000724AA" w:rsidRPr="00EB58C1">
        <w:rPr>
          <w:rFonts w:ascii="Avenir Book" w:hAnsi="Avenir Book"/>
        </w:rPr>
        <w:t>ssociation</w:t>
      </w:r>
      <w:r w:rsidRPr="00EB58C1">
        <w:rPr>
          <w:rFonts w:ascii="Avenir Book" w:hAnsi="Avenir Book"/>
        </w:rPr>
        <w:t xml:space="preserve">’s </w:t>
      </w:r>
      <w:r w:rsidR="000724AA" w:rsidRPr="00492A45">
        <w:rPr>
          <w:rFonts w:ascii="Avenir Book" w:hAnsi="Avenir Book"/>
          <w:i/>
          <w:iCs/>
        </w:rPr>
        <w:t>Ten Principles of a Public Defense Delivery System</w:t>
      </w:r>
      <w:r w:rsidR="000724AA" w:rsidRPr="00EB58C1">
        <w:rPr>
          <w:rFonts w:ascii="Avenir Book" w:hAnsi="Avenir Book"/>
        </w:rPr>
        <w:t xml:space="preserve"> (the “Ten Principles”) </w:t>
      </w:r>
      <w:r w:rsidRPr="00EB58C1">
        <w:rPr>
          <w:rFonts w:ascii="Avenir Book" w:hAnsi="Avenir Book"/>
        </w:rPr>
        <w:t>lays out necessary criteria for public defense systems to be able to provide effective legal representation to their clients.</w:t>
      </w:r>
      <w:r w:rsidRPr="00EB58C1">
        <w:rPr>
          <w:rFonts w:ascii="Avenir Book" w:hAnsi="Avenir Book"/>
          <w:vertAlign w:val="superscript"/>
        </w:rPr>
        <w:endnoteReference w:id="22"/>
      </w:r>
      <w:r w:rsidRPr="00EB58C1">
        <w:rPr>
          <w:rFonts w:ascii="Avenir Book" w:hAnsi="Avenir Book"/>
        </w:rPr>
        <w:t xml:space="preserve"> Most of the ABA’s Ten Principles address (either expressly or implicitly) how public defense systems </w:t>
      </w:r>
      <w:r w:rsidR="00492A45">
        <w:rPr>
          <w:rFonts w:ascii="Avenir Book" w:hAnsi="Avenir Book"/>
        </w:rPr>
        <w:t>should</w:t>
      </w:r>
      <w:r w:rsidRPr="00EB58C1">
        <w:rPr>
          <w:rFonts w:ascii="Avenir Book" w:hAnsi="Avenir Book"/>
        </w:rPr>
        <w:t xml:space="preserve"> act in compliance with ethical rules and constitutionally mandated requirements. For the purposes of this report, the most relevant ABA principles are those that address: (</w:t>
      </w:r>
      <w:proofErr w:type="spellStart"/>
      <w:r w:rsidRPr="00EB58C1">
        <w:rPr>
          <w:rFonts w:ascii="Avenir Book" w:hAnsi="Avenir Book"/>
        </w:rPr>
        <w:t>i</w:t>
      </w:r>
      <w:proofErr w:type="spellEnd"/>
      <w:r w:rsidRPr="00EB58C1">
        <w:rPr>
          <w:rFonts w:ascii="Avenir Book" w:hAnsi="Avenir Book"/>
        </w:rPr>
        <w:t>) Independence (Principle 1); (ii) Funding and Resource Parity (Principle 8); (iii) Office Culture and Training (Principles 6 and 9); and (iv) Compliance with Ethical and Constitutional Requirements (Principles 1, 3, 4, 5 and 10).</w:t>
      </w:r>
    </w:p>
    <w:p w14:paraId="063419DE" w14:textId="77777777" w:rsidR="00270C82" w:rsidRPr="00EB58C1" w:rsidRDefault="00270C82" w:rsidP="00EB58C1">
      <w:pPr>
        <w:spacing w:line="360" w:lineRule="auto"/>
        <w:ind w:firstLine="720"/>
        <w:jc w:val="both"/>
        <w:rPr>
          <w:rFonts w:ascii="Avenir Book" w:hAnsi="Avenir Book"/>
        </w:rPr>
      </w:pPr>
      <w:r w:rsidRPr="00EB58C1">
        <w:rPr>
          <w:rFonts w:ascii="Avenir Book" w:hAnsi="Avenir Book"/>
        </w:rPr>
        <w:t>The National Association for Public Defense (the “NAPD”), founded in 2013, is a professional organization with a membership of over 21,000 public defense practitioner members</w:t>
      </w:r>
      <w:r w:rsidRPr="00EB58C1">
        <w:rPr>
          <w:rFonts w:ascii="Avenir Book" w:hAnsi="Avenir Book"/>
          <w:vertAlign w:val="superscript"/>
        </w:rPr>
        <w:endnoteReference w:id="23"/>
      </w:r>
      <w:r w:rsidRPr="00EB58C1">
        <w:rPr>
          <w:rFonts w:ascii="Avenir Book" w:hAnsi="Avenir Book"/>
        </w:rPr>
        <w:t xml:space="preserve"> that operates as a resource and policy hub for public defenders across the country.</w:t>
      </w:r>
      <w:r w:rsidRPr="00EB58C1">
        <w:rPr>
          <w:rFonts w:ascii="Avenir Book" w:hAnsi="Avenir Book"/>
          <w:vertAlign w:val="superscript"/>
        </w:rPr>
        <w:endnoteReference w:id="24"/>
      </w:r>
      <w:r w:rsidRPr="00EB58C1">
        <w:rPr>
          <w:rFonts w:ascii="Avenir Book" w:hAnsi="Avenir Book"/>
        </w:rPr>
        <w:t xml:space="preserve"> NAPD is the largest formal coalition of public defenders nationwide, and as such, they are uniquely positioned to inform policymakers about ongoing issues in the representation of indigent clients and the operation of public defense systems generally. </w:t>
      </w:r>
    </w:p>
    <w:p w14:paraId="17D1027D" w14:textId="692C7462" w:rsidR="00270C82" w:rsidRPr="00EB58C1" w:rsidRDefault="00270C82" w:rsidP="00EB58C1">
      <w:pPr>
        <w:spacing w:line="360" w:lineRule="auto"/>
        <w:ind w:firstLine="720"/>
        <w:jc w:val="both"/>
        <w:rPr>
          <w:rFonts w:ascii="Avenir Book" w:hAnsi="Avenir Book"/>
          <w:highlight w:val="yellow"/>
        </w:rPr>
      </w:pPr>
      <w:r w:rsidRPr="00EB58C1">
        <w:rPr>
          <w:rFonts w:ascii="Avenir Book" w:hAnsi="Avenir Book"/>
        </w:rPr>
        <w:lastRenderedPageBreak/>
        <w:t xml:space="preserve">The NAPD has also released reports and policy statements for the improved operation of public defender systems. In May of 2020, NAPD published a policy statement on the independence of public defenders which stressed the urgency of removing judicial and political influences from indigent defense systems.  In addition, the NAPD has provided </w:t>
      </w:r>
      <w:r w:rsidR="00EB7DB4" w:rsidRPr="00EB58C1">
        <w:rPr>
          <w:rFonts w:ascii="Avenir Book" w:hAnsi="Avenir Book"/>
        </w:rPr>
        <w:t>public</w:t>
      </w:r>
      <w:r w:rsidRPr="00EB58C1">
        <w:rPr>
          <w:rFonts w:ascii="Avenir Book" w:hAnsi="Avenir Book"/>
        </w:rPr>
        <w:t xml:space="preserve"> defender offices with guidance </w:t>
      </w:r>
      <w:r w:rsidR="00EB7DB4" w:rsidRPr="00EB58C1">
        <w:rPr>
          <w:rFonts w:ascii="Avenir Book" w:hAnsi="Avenir Book"/>
        </w:rPr>
        <w:t xml:space="preserve">on </w:t>
      </w:r>
      <w:r w:rsidRPr="00EB58C1">
        <w:rPr>
          <w:rFonts w:ascii="Avenir Book" w:hAnsi="Avenir Book"/>
        </w:rPr>
        <w:t>the structure and organization of public defense services (Principles 1-4); the quality of public defense services (Principles 5-9); and th</w:t>
      </w:r>
      <w:r w:rsidR="00EB7DB4" w:rsidRPr="00EB58C1">
        <w:rPr>
          <w:rFonts w:ascii="Avenir Book" w:hAnsi="Avenir Book"/>
        </w:rPr>
        <w:t>e treatment of accused persons</w:t>
      </w:r>
      <w:r w:rsidRPr="00EB58C1">
        <w:rPr>
          <w:rFonts w:ascii="Avenir Book" w:hAnsi="Avenir Book"/>
        </w:rPr>
        <w:t xml:space="preserve"> (Principles 10-15).</w:t>
      </w:r>
      <w:r w:rsidRPr="00EB58C1">
        <w:rPr>
          <w:rFonts w:ascii="Avenir Book" w:hAnsi="Avenir Book"/>
          <w:vertAlign w:val="superscript"/>
        </w:rPr>
        <w:endnoteReference w:id="25"/>
      </w:r>
    </w:p>
    <w:p w14:paraId="64440B04" w14:textId="43B2D771" w:rsidR="00FF0935" w:rsidRDefault="00EB7DB4" w:rsidP="000366F8">
      <w:pPr>
        <w:spacing w:line="360" w:lineRule="auto"/>
        <w:ind w:firstLine="720"/>
        <w:jc w:val="both"/>
        <w:rPr>
          <w:rFonts w:ascii="Avenir Book" w:hAnsi="Avenir Book"/>
        </w:rPr>
      </w:pPr>
      <w:r w:rsidRPr="00EB58C1">
        <w:rPr>
          <w:rFonts w:ascii="Avenir Book" w:hAnsi="Avenir Book"/>
        </w:rPr>
        <w:t xml:space="preserve">While attorneys are required to follow ethical rules, national standards such as those </w:t>
      </w:r>
      <w:r w:rsidR="00E87238" w:rsidRPr="00EB58C1">
        <w:rPr>
          <w:rFonts w:ascii="Avenir Book" w:hAnsi="Avenir Book"/>
        </w:rPr>
        <w:t>published</w:t>
      </w:r>
      <w:r w:rsidRPr="00EB58C1">
        <w:rPr>
          <w:rFonts w:ascii="Avenir Book" w:hAnsi="Avenir Book"/>
        </w:rPr>
        <w:t xml:space="preserve"> by the ABA and NAPD are aspirational. </w:t>
      </w:r>
      <w:r w:rsidR="00E87238" w:rsidRPr="00EB58C1">
        <w:rPr>
          <w:rFonts w:ascii="Avenir Book" w:hAnsi="Avenir Book"/>
        </w:rPr>
        <w:t>They are intended to help local and state governments contemplate improvements to their public defender systems.</w:t>
      </w:r>
      <w:r w:rsidR="00664F80" w:rsidRPr="00EB58C1">
        <w:rPr>
          <w:rFonts w:ascii="Avenir Book" w:hAnsi="Avenir Book"/>
        </w:rPr>
        <w:t xml:space="preserve">  Such standards may be incorporated into a </w:t>
      </w:r>
      <w:r w:rsidR="00492A45">
        <w:rPr>
          <w:rFonts w:ascii="Avenir Book" w:hAnsi="Avenir Book"/>
        </w:rPr>
        <w:t>d</w:t>
      </w:r>
      <w:r w:rsidR="00664F80" w:rsidRPr="00EB58C1">
        <w:rPr>
          <w:rFonts w:ascii="Avenir Book" w:hAnsi="Avenir Book"/>
        </w:rPr>
        <w:t xml:space="preserve">efender </w:t>
      </w:r>
      <w:r w:rsidR="00492A45">
        <w:rPr>
          <w:rFonts w:ascii="Avenir Book" w:hAnsi="Avenir Book"/>
        </w:rPr>
        <w:t>o</w:t>
      </w:r>
      <w:r w:rsidR="00664F80" w:rsidRPr="00EB58C1">
        <w:rPr>
          <w:rFonts w:ascii="Avenir Book" w:hAnsi="Avenir Book"/>
        </w:rPr>
        <w:t>ffice’s bylaw</w:t>
      </w:r>
      <w:r w:rsidR="0097648B" w:rsidRPr="00EB58C1">
        <w:rPr>
          <w:rFonts w:ascii="Avenir Book" w:hAnsi="Avenir Book"/>
        </w:rPr>
        <w:t>s</w:t>
      </w:r>
      <w:r w:rsidR="00664F80" w:rsidRPr="00EB58C1">
        <w:rPr>
          <w:rFonts w:ascii="Avenir Book" w:hAnsi="Avenir Book"/>
        </w:rPr>
        <w:t>, mission statements, or similar documents.</w:t>
      </w:r>
      <w:bookmarkStart w:id="6" w:name="_Toc62730361"/>
    </w:p>
    <w:p w14:paraId="176257C5" w14:textId="77777777" w:rsidR="000366F8" w:rsidRPr="00FF0935" w:rsidRDefault="000366F8" w:rsidP="000366F8">
      <w:pPr>
        <w:spacing w:line="360" w:lineRule="auto"/>
        <w:ind w:firstLine="720"/>
        <w:jc w:val="both"/>
        <w:rPr>
          <w:rFonts w:ascii="Avenir Book" w:hAnsi="Avenir Book"/>
        </w:rPr>
      </w:pPr>
    </w:p>
    <w:p w14:paraId="35106F6D" w14:textId="39F50E49" w:rsidR="00101A50" w:rsidRDefault="00101A50" w:rsidP="001161E1">
      <w:pPr>
        <w:pStyle w:val="Head3"/>
      </w:pPr>
      <w:r>
        <w:t>The Legal Landscape in Pennsylvania</w:t>
      </w:r>
      <w:bookmarkEnd w:id="6"/>
    </w:p>
    <w:p w14:paraId="528F7EEA" w14:textId="37F23617" w:rsidR="00101A50" w:rsidRPr="00EB58C1" w:rsidRDefault="00101A50" w:rsidP="00EB58C1">
      <w:pPr>
        <w:spacing w:line="360" w:lineRule="auto"/>
        <w:ind w:firstLine="360"/>
        <w:jc w:val="both"/>
        <w:rPr>
          <w:rFonts w:ascii="Avenir Book" w:hAnsi="Avenir Book"/>
          <w:color w:val="000000"/>
        </w:rPr>
      </w:pPr>
      <w:r w:rsidRPr="00EB58C1">
        <w:rPr>
          <w:rFonts w:ascii="Avenir Book" w:hAnsi="Avenir Book"/>
        </w:rPr>
        <w:t xml:space="preserve">The Pennsylvania Public Defender </w:t>
      </w:r>
      <w:r w:rsidRPr="00EB58C1">
        <w:rPr>
          <w:rFonts w:ascii="Avenir Book" w:hAnsi="Avenir Book"/>
          <w:color w:val="000000"/>
        </w:rPr>
        <w:t xml:space="preserve">Act, 16 P.S. § 9960 </w:t>
      </w:r>
      <w:r w:rsidRPr="00492A45">
        <w:rPr>
          <w:rFonts w:ascii="Avenir Book" w:hAnsi="Avenir Book"/>
          <w:i/>
          <w:iCs/>
          <w:color w:val="000000"/>
        </w:rPr>
        <w:t xml:space="preserve">et </w:t>
      </w:r>
      <w:r w:rsidR="00492A45" w:rsidRPr="00492A45">
        <w:rPr>
          <w:rFonts w:ascii="Avenir Book" w:hAnsi="Avenir Book"/>
          <w:i/>
          <w:iCs/>
          <w:color w:val="000000"/>
        </w:rPr>
        <w:t>seq</w:t>
      </w:r>
      <w:r w:rsidR="00492A45">
        <w:rPr>
          <w:rFonts w:ascii="Avenir Book" w:hAnsi="Avenir Book"/>
          <w:i/>
          <w:iCs/>
          <w:color w:val="000000"/>
        </w:rPr>
        <w:t>.</w:t>
      </w:r>
      <w:r w:rsidRPr="00EB58C1">
        <w:rPr>
          <w:rFonts w:ascii="Avenir Book" w:hAnsi="Avenir Book"/>
          <w:color w:val="000000"/>
        </w:rPr>
        <w:t xml:space="preserve"> (the “Act” or “PDA”),</w:t>
      </w:r>
      <w:r w:rsidRPr="00EB58C1">
        <w:rPr>
          <w:rFonts w:ascii="Avenir Book" w:hAnsi="Avenir Book"/>
        </w:rPr>
        <w:t xml:space="preserve"> is the only statute </w:t>
      </w:r>
      <w:r w:rsidR="00492A45">
        <w:rPr>
          <w:rFonts w:ascii="Avenir Book" w:hAnsi="Avenir Book"/>
        </w:rPr>
        <w:t xml:space="preserve">directly </w:t>
      </w:r>
      <w:r w:rsidRPr="00EB58C1">
        <w:rPr>
          <w:rFonts w:ascii="Avenir Book" w:hAnsi="Avenir Book"/>
        </w:rPr>
        <w:t>regulating public defense in the Commonwealth.</w:t>
      </w:r>
      <w:r w:rsidRPr="00EB58C1">
        <w:rPr>
          <w:rFonts w:ascii="Avenir Book" w:hAnsi="Avenir Book"/>
          <w:vertAlign w:val="superscript"/>
        </w:rPr>
        <w:endnoteReference w:id="26"/>
      </w:r>
      <w:r w:rsidRPr="00EB58C1">
        <w:rPr>
          <w:rFonts w:ascii="Avenir Book" w:hAnsi="Avenir Book"/>
        </w:rPr>
        <w:t xml:space="preserve"> </w:t>
      </w:r>
      <w:r w:rsidRPr="00EB58C1">
        <w:rPr>
          <w:rFonts w:ascii="Avenir Book" w:hAnsi="Avenir Book"/>
          <w:color w:val="000000"/>
        </w:rPr>
        <w:t xml:space="preserve">The Act assigns all responsibility for indigent defense to the counties, mandating </w:t>
      </w:r>
      <w:r w:rsidR="0097648B" w:rsidRPr="00EB58C1">
        <w:rPr>
          <w:rFonts w:ascii="Avenir Book" w:hAnsi="Avenir Book"/>
          <w:color w:val="000000"/>
        </w:rPr>
        <w:t xml:space="preserve">that each </w:t>
      </w:r>
      <w:r w:rsidRPr="00EB58C1">
        <w:rPr>
          <w:rFonts w:ascii="Avenir Book" w:hAnsi="Avenir Book"/>
          <w:color w:val="000000"/>
        </w:rPr>
        <w:t>count</w:t>
      </w:r>
      <w:r w:rsidR="0097648B" w:rsidRPr="00EB58C1">
        <w:rPr>
          <w:rFonts w:ascii="Avenir Book" w:hAnsi="Avenir Book"/>
          <w:color w:val="000000"/>
        </w:rPr>
        <w:t>y</w:t>
      </w:r>
      <w:r w:rsidRPr="00EB58C1">
        <w:rPr>
          <w:rFonts w:ascii="Avenir Book" w:hAnsi="Avenir Book"/>
          <w:color w:val="000000"/>
        </w:rPr>
        <w:t xml:space="preserve"> </w:t>
      </w:r>
      <w:r w:rsidR="0097648B" w:rsidRPr="00EB58C1">
        <w:rPr>
          <w:rFonts w:ascii="Avenir Book" w:hAnsi="Avenir Book"/>
          <w:color w:val="000000"/>
        </w:rPr>
        <w:t xml:space="preserve">(with the exception of </w:t>
      </w:r>
      <w:r w:rsidR="0097648B" w:rsidRPr="00EB58C1">
        <w:rPr>
          <w:rFonts w:ascii="Avenir Book" w:hAnsi="Avenir Book"/>
        </w:rPr>
        <w:t>Philadelphia County</w:t>
      </w:r>
      <w:r w:rsidR="0097648B" w:rsidRPr="00EB58C1">
        <w:rPr>
          <w:rFonts w:ascii="Avenir Book" w:hAnsi="Avenir Book"/>
          <w:vertAlign w:val="superscript"/>
        </w:rPr>
        <w:endnoteReference w:id="27"/>
      </w:r>
      <w:r w:rsidR="0097648B" w:rsidRPr="00EB58C1">
        <w:rPr>
          <w:rFonts w:ascii="Avenir Book" w:hAnsi="Avenir Book"/>
        </w:rPr>
        <w:t xml:space="preserve">) </w:t>
      </w:r>
      <w:r w:rsidRPr="00EB58C1">
        <w:rPr>
          <w:rFonts w:ascii="Avenir Book" w:hAnsi="Avenir Book"/>
          <w:color w:val="000000"/>
        </w:rPr>
        <w:t xml:space="preserve">create </w:t>
      </w:r>
      <w:r w:rsidR="0097648B" w:rsidRPr="00EB58C1">
        <w:rPr>
          <w:rFonts w:ascii="Avenir Book" w:hAnsi="Avenir Book"/>
          <w:color w:val="000000"/>
        </w:rPr>
        <w:t xml:space="preserve">a </w:t>
      </w:r>
      <w:r w:rsidRPr="00EB58C1">
        <w:rPr>
          <w:rFonts w:ascii="Avenir Book" w:hAnsi="Avenir Book"/>
          <w:color w:val="000000"/>
        </w:rPr>
        <w:t>public defender office</w:t>
      </w:r>
      <w:r w:rsidR="0097648B" w:rsidRPr="00EB58C1">
        <w:rPr>
          <w:rFonts w:ascii="Avenir Book" w:hAnsi="Avenir Book"/>
          <w:color w:val="000000"/>
        </w:rPr>
        <w:t>,</w:t>
      </w:r>
      <w:r w:rsidR="00664F80" w:rsidRPr="00EB58C1">
        <w:rPr>
          <w:rFonts w:ascii="Avenir Book" w:hAnsi="Avenir Book"/>
          <w:color w:val="000000"/>
        </w:rPr>
        <w:t xml:space="preserve"> </w:t>
      </w:r>
      <w:r w:rsidR="0097648B" w:rsidRPr="00EB58C1">
        <w:rPr>
          <w:rFonts w:ascii="Avenir Book" w:hAnsi="Avenir Book"/>
          <w:color w:val="000000"/>
        </w:rPr>
        <w:t xml:space="preserve">and that the county’s commissioners appoint the office’s </w:t>
      </w:r>
      <w:r w:rsidR="008761AF" w:rsidRPr="00EB58C1">
        <w:rPr>
          <w:rFonts w:ascii="Avenir Book" w:hAnsi="Avenir Book"/>
          <w:color w:val="000000"/>
        </w:rPr>
        <w:t>C</w:t>
      </w:r>
      <w:r w:rsidR="0097648B" w:rsidRPr="00EB58C1">
        <w:rPr>
          <w:rFonts w:ascii="Avenir Book" w:hAnsi="Avenir Book"/>
          <w:color w:val="000000"/>
        </w:rPr>
        <w:t xml:space="preserve">hief </w:t>
      </w:r>
      <w:r w:rsidR="008761AF" w:rsidRPr="00EB58C1">
        <w:rPr>
          <w:rFonts w:ascii="Avenir Book" w:hAnsi="Avenir Book"/>
          <w:color w:val="000000"/>
        </w:rPr>
        <w:t>P</w:t>
      </w:r>
      <w:r w:rsidR="0097648B" w:rsidRPr="00EB58C1">
        <w:rPr>
          <w:rFonts w:ascii="Avenir Book" w:hAnsi="Avenir Book"/>
          <w:color w:val="000000"/>
        </w:rPr>
        <w:t xml:space="preserve">ublic </w:t>
      </w:r>
      <w:r w:rsidR="008761AF" w:rsidRPr="00EB58C1">
        <w:rPr>
          <w:rFonts w:ascii="Avenir Book" w:hAnsi="Avenir Book"/>
          <w:color w:val="000000"/>
        </w:rPr>
        <w:t>D</w:t>
      </w:r>
      <w:r w:rsidR="0097648B" w:rsidRPr="00EB58C1">
        <w:rPr>
          <w:rFonts w:ascii="Avenir Book" w:hAnsi="Avenir Book"/>
          <w:color w:val="000000"/>
        </w:rPr>
        <w:t>efender</w:t>
      </w:r>
      <w:r w:rsidR="008761AF" w:rsidRPr="00EB58C1">
        <w:rPr>
          <w:rFonts w:ascii="Avenir Book" w:hAnsi="Avenir Book"/>
          <w:color w:val="000000"/>
        </w:rPr>
        <w:t>.</w:t>
      </w:r>
      <w:r w:rsidR="008761AF" w:rsidRPr="00EB58C1">
        <w:rPr>
          <w:rFonts w:ascii="Avenir Book" w:hAnsi="Avenir Book"/>
          <w:color w:val="000000"/>
          <w:vertAlign w:val="superscript"/>
        </w:rPr>
        <w:endnoteReference w:id="28"/>
      </w:r>
      <w:r w:rsidR="008761AF" w:rsidRPr="00EB58C1">
        <w:rPr>
          <w:rFonts w:ascii="Avenir Book" w:hAnsi="Avenir Book"/>
          <w:color w:val="000000"/>
        </w:rPr>
        <w:t xml:space="preserve"> </w:t>
      </w:r>
      <w:r w:rsidR="00492A45">
        <w:rPr>
          <w:rFonts w:ascii="Avenir Book" w:hAnsi="Avenir Book"/>
          <w:color w:val="000000"/>
        </w:rPr>
        <w:t>T</w:t>
      </w:r>
      <w:r w:rsidR="0097648B" w:rsidRPr="00EB58C1">
        <w:rPr>
          <w:rFonts w:ascii="Avenir Book" w:hAnsi="Avenir Book"/>
        </w:rPr>
        <w:t>ermination power</w:t>
      </w:r>
      <w:r w:rsidR="00492A45">
        <w:rPr>
          <w:rFonts w:ascii="Avenir Book" w:hAnsi="Avenir Book"/>
        </w:rPr>
        <w:t>s</w:t>
      </w:r>
      <w:r w:rsidR="0097648B" w:rsidRPr="00EB58C1">
        <w:rPr>
          <w:rFonts w:ascii="Avenir Book" w:hAnsi="Avenir Book"/>
        </w:rPr>
        <w:t xml:space="preserve"> are not explicitly mentioned.</w:t>
      </w:r>
      <w:r w:rsidR="0097648B" w:rsidRPr="00EB58C1">
        <w:rPr>
          <w:rFonts w:ascii="Avenir Book" w:hAnsi="Avenir Book"/>
          <w:vertAlign w:val="superscript"/>
        </w:rPr>
        <w:endnoteReference w:id="29"/>
      </w:r>
      <w:r w:rsidRPr="00EB58C1">
        <w:rPr>
          <w:rFonts w:ascii="Avenir Book" w:hAnsi="Avenir Book"/>
          <w:color w:val="000000"/>
        </w:rPr>
        <w:t xml:space="preserve"> </w:t>
      </w:r>
      <w:r w:rsidR="008761AF" w:rsidRPr="00EB58C1">
        <w:rPr>
          <w:rFonts w:ascii="Avenir Book" w:hAnsi="Avenir Book"/>
          <w:color w:val="000000"/>
        </w:rPr>
        <w:t xml:space="preserve">The Act does not provide any statewide </w:t>
      </w:r>
      <w:r w:rsidRPr="00EB58C1">
        <w:rPr>
          <w:rFonts w:ascii="Avenir Book" w:hAnsi="Avenir Book"/>
          <w:color w:val="000000"/>
        </w:rPr>
        <w:t>standards</w:t>
      </w:r>
      <w:r w:rsidR="008761AF" w:rsidRPr="00EB58C1">
        <w:rPr>
          <w:rFonts w:ascii="Avenir Book" w:hAnsi="Avenir Book"/>
          <w:color w:val="000000"/>
        </w:rPr>
        <w:t xml:space="preserve"> for the operations of public defender offices</w:t>
      </w:r>
      <w:r w:rsidRPr="00EB58C1">
        <w:rPr>
          <w:rFonts w:ascii="Avenir Book" w:hAnsi="Avenir Book"/>
          <w:color w:val="000000"/>
        </w:rPr>
        <w:t>, and each individual county has responsibility for, and complete discretion over, the funding of its office.</w:t>
      </w:r>
      <w:r w:rsidRPr="00EB58C1">
        <w:rPr>
          <w:rFonts w:ascii="Avenir Book" w:hAnsi="Avenir Book"/>
          <w:color w:val="000000"/>
          <w:vertAlign w:val="superscript"/>
        </w:rPr>
        <w:endnoteReference w:id="30"/>
      </w:r>
      <w:r w:rsidRPr="00EB58C1">
        <w:rPr>
          <w:rFonts w:ascii="Avenir Book" w:hAnsi="Avenir Book"/>
        </w:rPr>
        <w:t xml:space="preserve"> Generally, funding for indigent defense is raised through local property taxes.</w:t>
      </w:r>
      <w:r w:rsidRPr="00EB58C1">
        <w:rPr>
          <w:rFonts w:ascii="Avenir Book" w:hAnsi="Avenir Book"/>
          <w:vertAlign w:val="superscript"/>
        </w:rPr>
        <w:endnoteReference w:id="31"/>
      </w:r>
      <w:r w:rsidRPr="00EB58C1">
        <w:rPr>
          <w:rFonts w:ascii="Avenir Book" w:hAnsi="Avenir Book"/>
        </w:rPr>
        <w:t xml:space="preserve"> </w:t>
      </w:r>
    </w:p>
    <w:p w14:paraId="6604BA70" w14:textId="5DB3125D" w:rsidR="00101A50" w:rsidRPr="00EB58C1" w:rsidRDefault="00101A50" w:rsidP="00EB58C1">
      <w:pPr>
        <w:spacing w:line="360" w:lineRule="auto"/>
        <w:ind w:firstLine="720"/>
        <w:jc w:val="both"/>
        <w:rPr>
          <w:rFonts w:ascii="Avenir Book" w:hAnsi="Avenir Book"/>
        </w:rPr>
      </w:pPr>
      <w:r w:rsidRPr="00EB58C1">
        <w:rPr>
          <w:rFonts w:ascii="Avenir Book" w:hAnsi="Avenir Book"/>
        </w:rPr>
        <w:t xml:space="preserve">The Chief Public Defender and </w:t>
      </w:r>
      <w:r w:rsidR="00492A45">
        <w:rPr>
          <w:rFonts w:ascii="Avenir Book" w:hAnsi="Avenir Book"/>
        </w:rPr>
        <w:t>a</w:t>
      </w:r>
      <w:r w:rsidRPr="00EB58C1">
        <w:rPr>
          <w:rFonts w:ascii="Avenir Book" w:hAnsi="Avenir Book"/>
        </w:rPr>
        <w:t xml:space="preserve">ssistant </w:t>
      </w:r>
      <w:r w:rsidR="00492A45">
        <w:rPr>
          <w:rFonts w:ascii="Avenir Book" w:hAnsi="Avenir Book"/>
        </w:rPr>
        <w:t>p</w:t>
      </w:r>
      <w:r w:rsidRPr="00EB58C1">
        <w:rPr>
          <w:rFonts w:ascii="Avenir Book" w:hAnsi="Avenir Book"/>
        </w:rPr>
        <w:t xml:space="preserve">ublic </w:t>
      </w:r>
      <w:r w:rsidR="00492A45">
        <w:rPr>
          <w:rFonts w:ascii="Avenir Book" w:hAnsi="Avenir Book"/>
        </w:rPr>
        <w:t>d</w:t>
      </w:r>
      <w:r w:rsidRPr="00EB58C1">
        <w:rPr>
          <w:rFonts w:ascii="Avenir Book" w:hAnsi="Avenir Book"/>
        </w:rPr>
        <w:t>efenders are required to be attorneys admitted to practice in the Commonwealth.</w:t>
      </w:r>
      <w:r w:rsidRPr="00EB58C1">
        <w:rPr>
          <w:rFonts w:ascii="Avenir Book" w:hAnsi="Avenir Book"/>
          <w:vertAlign w:val="superscript"/>
        </w:rPr>
        <w:endnoteReference w:id="32"/>
      </w:r>
      <w:r w:rsidRPr="00EB58C1">
        <w:rPr>
          <w:rFonts w:ascii="Avenir Book" w:hAnsi="Avenir Book"/>
        </w:rPr>
        <w:t xml:space="preserve"> With approval of the “appointive body” (i.e., </w:t>
      </w:r>
      <w:r w:rsidR="00492A45">
        <w:rPr>
          <w:rFonts w:ascii="Avenir Book" w:hAnsi="Avenir Book"/>
        </w:rPr>
        <w:t>a</w:t>
      </w:r>
      <w:r w:rsidRPr="00EB58C1">
        <w:rPr>
          <w:rFonts w:ascii="Avenir Book" w:hAnsi="Avenir Book"/>
        </w:rPr>
        <w:t xml:space="preserve"> county commission), the Chief Public Defender may build a defender office </w:t>
      </w:r>
      <w:r w:rsidRPr="00EB58C1">
        <w:rPr>
          <w:rFonts w:ascii="Avenir Book" w:hAnsi="Avenir Book"/>
        </w:rPr>
        <w:lastRenderedPageBreak/>
        <w:t>by hiring full- or part-time assistant public defenders, clerks, investigators, support staff, and other staff members the office needs to carry out its duties.</w:t>
      </w:r>
      <w:r w:rsidRPr="00EB58C1">
        <w:rPr>
          <w:rFonts w:ascii="Avenir Book" w:hAnsi="Avenir Book"/>
          <w:vertAlign w:val="superscript"/>
        </w:rPr>
        <w:endnoteReference w:id="33"/>
      </w:r>
    </w:p>
    <w:p w14:paraId="2395BBE9" w14:textId="77777777" w:rsidR="00492A45" w:rsidRDefault="00101A50" w:rsidP="00EB58C1">
      <w:pPr>
        <w:spacing w:line="360" w:lineRule="auto"/>
        <w:ind w:firstLine="720"/>
        <w:jc w:val="both"/>
        <w:rPr>
          <w:rFonts w:ascii="Avenir Book" w:hAnsi="Avenir Book"/>
        </w:rPr>
      </w:pPr>
      <w:r w:rsidRPr="00EB58C1">
        <w:rPr>
          <w:rFonts w:ascii="Avenir Book" w:hAnsi="Avenir Book"/>
        </w:rPr>
        <w:t xml:space="preserve">The Act </w:t>
      </w:r>
      <w:r w:rsidR="008761AF" w:rsidRPr="00EB58C1">
        <w:rPr>
          <w:rFonts w:ascii="Avenir Book" w:hAnsi="Avenir Book"/>
        </w:rPr>
        <w:t xml:space="preserve">requires </w:t>
      </w:r>
      <w:r w:rsidRPr="00EB58C1">
        <w:rPr>
          <w:rFonts w:ascii="Avenir Book" w:hAnsi="Avenir Book"/>
        </w:rPr>
        <w:t xml:space="preserve">indigent </w:t>
      </w:r>
      <w:r w:rsidR="008761AF" w:rsidRPr="00EB58C1">
        <w:rPr>
          <w:rFonts w:ascii="Avenir Book" w:hAnsi="Avenir Book"/>
        </w:rPr>
        <w:t xml:space="preserve">representation </w:t>
      </w:r>
      <w:r w:rsidRPr="00EB58C1">
        <w:rPr>
          <w:rFonts w:ascii="Avenir Book" w:hAnsi="Avenir Book"/>
        </w:rPr>
        <w:t xml:space="preserve">in </w:t>
      </w:r>
      <w:r w:rsidR="001A61C5" w:rsidRPr="00EB58C1">
        <w:rPr>
          <w:rFonts w:ascii="Avenir Book" w:hAnsi="Avenir Book"/>
        </w:rPr>
        <w:t xml:space="preserve">ten </w:t>
      </w:r>
      <w:r w:rsidRPr="00EB58C1">
        <w:rPr>
          <w:rFonts w:ascii="Avenir Book" w:hAnsi="Avenir Book"/>
        </w:rPr>
        <w:t xml:space="preserve">specific areas, including juvenile delinquency proceedings, critical pretrial identification procedures, </w:t>
      </w:r>
      <w:r w:rsidR="001A61C5" w:rsidRPr="00EB58C1">
        <w:rPr>
          <w:rFonts w:ascii="Avenir Book" w:hAnsi="Avenir Book"/>
        </w:rPr>
        <w:t>all stages of criminal adjudication (from preliminary hearings through appellate and habeas challenges), along with any other situation in which legal representation is “constitutionally required”</w:t>
      </w:r>
      <w:r w:rsidRPr="00EB58C1">
        <w:rPr>
          <w:rFonts w:ascii="Avenir Book" w:hAnsi="Avenir Book"/>
        </w:rPr>
        <w:t>.</w:t>
      </w:r>
      <w:r w:rsidRPr="00EB58C1">
        <w:rPr>
          <w:rFonts w:ascii="Avenir Book" w:hAnsi="Avenir Book"/>
          <w:vertAlign w:val="superscript"/>
        </w:rPr>
        <w:endnoteReference w:id="34"/>
      </w:r>
      <w:r w:rsidR="001A61C5" w:rsidRPr="00EB58C1">
        <w:rPr>
          <w:rFonts w:ascii="Avenir Book" w:hAnsi="Avenir Book"/>
        </w:rPr>
        <w:t xml:space="preserve"> </w:t>
      </w:r>
    </w:p>
    <w:p w14:paraId="5E7135F3" w14:textId="39D460E3" w:rsidR="00101A50" w:rsidRPr="00EB58C1" w:rsidRDefault="001A61C5" w:rsidP="00EB58C1">
      <w:pPr>
        <w:spacing w:line="360" w:lineRule="auto"/>
        <w:ind w:firstLine="720"/>
        <w:jc w:val="both"/>
        <w:rPr>
          <w:rFonts w:ascii="Avenir Book" w:hAnsi="Avenir Book"/>
        </w:rPr>
      </w:pPr>
      <w:r w:rsidRPr="00EB58C1">
        <w:rPr>
          <w:rFonts w:ascii="Avenir Book" w:hAnsi="Avenir Book"/>
        </w:rPr>
        <w:t>In addition, the Pennsylvania Rules of Criminal Procedure state that defense counsel for an indigent defendant must be appointed in all summary cases with a likelihood of imprisonment, in all court cases prior to the preliminary hearing, and in every case “when the interests of justice require it.</w:t>
      </w:r>
      <w:r w:rsidRPr="00EB58C1">
        <w:rPr>
          <w:rFonts w:ascii="Avenir Book" w:hAnsi="Avenir Book"/>
          <w:vertAlign w:val="superscript"/>
        </w:rPr>
        <w:endnoteReference w:id="35"/>
      </w:r>
      <w:r w:rsidRPr="00EB58C1">
        <w:rPr>
          <w:rFonts w:ascii="Avenir Book" w:hAnsi="Avenir Book"/>
        </w:rPr>
        <w:t xml:space="preserve"> An appointment must remain in place until the final judgment against a defendant, including any direct appeal as of right.</w:t>
      </w:r>
      <w:r w:rsidRPr="00EB58C1">
        <w:rPr>
          <w:rFonts w:ascii="Avenir Book" w:hAnsi="Avenir Book"/>
          <w:vertAlign w:val="superscript"/>
        </w:rPr>
        <w:endnoteReference w:id="36"/>
      </w:r>
    </w:p>
    <w:p w14:paraId="382F8E42" w14:textId="78148F1B" w:rsidR="00101A50" w:rsidRPr="00EB58C1" w:rsidRDefault="00101A50" w:rsidP="00EB58C1">
      <w:pPr>
        <w:spacing w:line="360" w:lineRule="auto"/>
        <w:ind w:firstLine="720"/>
        <w:jc w:val="both"/>
        <w:rPr>
          <w:rFonts w:ascii="Avenir Book" w:hAnsi="Avenir Book"/>
        </w:rPr>
      </w:pPr>
      <w:r w:rsidRPr="00EB58C1">
        <w:rPr>
          <w:rFonts w:ascii="Avenir Book" w:hAnsi="Avenir Book"/>
        </w:rPr>
        <w:t>County commissions are responsible for providing suitable office space, furniture, equipment, and other needed supplies so that the office can properly conduct its business.</w:t>
      </w:r>
      <w:r w:rsidRPr="00EB58C1">
        <w:rPr>
          <w:rFonts w:ascii="Avenir Book" w:hAnsi="Avenir Book"/>
          <w:vertAlign w:val="superscript"/>
        </w:rPr>
        <w:endnoteReference w:id="37"/>
      </w:r>
      <w:r w:rsidRPr="00EB58C1">
        <w:rPr>
          <w:rFonts w:ascii="Avenir Book" w:hAnsi="Avenir Book"/>
        </w:rPr>
        <w:t xml:space="preserve"> Further, the county imposing a defendant’s sentence is responsible for reimbursing the public defender office of another county for “reasonable expenses incurred” during the representation of that defendant during parole revocation proceedings and appeals.</w:t>
      </w:r>
      <w:r w:rsidRPr="00EB58C1">
        <w:rPr>
          <w:rFonts w:ascii="Avenir Book" w:hAnsi="Avenir Book"/>
          <w:vertAlign w:val="superscript"/>
        </w:rPr>
        <w:endnoteReference w:id="38"/>
      </w:r>
    </w:p>
    <w:p w14:paraId="5C0578AD" w14:textId="4BF75D2D" w:rsidR="00EB58C1" w:rsidRDefault="00FF58EE" w:rsidP="00FF0935">
      <w:pPr>
        <w:spacing w:line="360" w:lineRule="auto"/>
        <w:ind w:firstLine="720"/>
        <w:jc w:val="both"/>
        <w:rPr>
          <w:rFonts w:ascii="Avenir Book" w:hAnsi="Avenir Book"/>
        </w:rPr>
      </w:pPr>
      <w:r w:rsidRPr="00EB58C1">
        <w:rPr>
          <w:rFonts w:ascii="Avenir Book" w:hAnsi="Avenir Book"/>
        </w:rPr>
        <w:t xml:space="preserve">In addition to the Pennsylvania Rules of Professional Conduct discussed above, </w:t>
      </w:r>
      <w:r w:rsidR="00101A50" w:rsidRPr="00EB58C1">
        <w:rPr>
          <w:rFonts w:ascii="Avenir Book" w:hAnsi="Avenir Book"/>
        </w:rPr>
        <w:t>Montgomery County also maintains its own County Ethics Policy for all county employees.</w:t>
      </w:r>
      <w:r w:rsidR="00101A50" w:rsidRPr="00EB58C1">
        <w:rPr>
          <w:rFonts w:ascii="Avenir Book" w:hAnsi="Avenir Book"/>
          <w:vertAlign w:val="superscript"/>
        </w:rPr>
        <w:endnoteReference w:id="39"/>
      </w:r>
      <w:r w:rsidR="00101A50" w:rsidRPr="00EB58C1">
        <w:rPr>
          <w:rFonts w:ascii="Avenir Book" w:hAnsi="Avenir Book"/>
        </w:rPr>
        <w:t xml:space="preserve"> The policy includes rules specific to attorneys, and adopts the above-mentioned Pennsylvania Rules of Professional Conduct.</w:t>
      </w:r>
      <w:r w:rsidR="00101A50" w:rsidRPr="00EB58C1">
        <w:rPr>
          <w:rFonts w:ascii="Avenir Book" w:hAnsi="Avenir Book"/>
          <w:vertAlign w:val="superscript"/>
        </w:rPr>
        <w:endnoteReference w:id="40"/>
      </w:r>
      <w:r w:rsidR="00101A50" w:rsidRPr="00EB58C1">
        <w:rPr>
          <w:rFonts w:ascii="Avenir Book" w:hAnsi="Avenir Book"/>
        </w:rPr>
        <w:t xml:space="preserve"> However, the policy contains no specific provisions for criminal justice proceedings or public defense services.</w:t>
      </w:r>
      <w:bookmarkStart w:id="7" w:name="_Toc62730362"/>
    </w:p>
    <w:p w14:paraId="6BBE6861" w14:textId="42568C25" w:rsidR="00FF0935" w:rsidRDefault="00FF0935" w:rsidP="00FF0935">
      <w:pPr>
        <w:spacing w:line="360" w:lineRule="auto"/>
        <w:ind w:firstLine="720"/>
        <w:jc w:val="both"/>
        <w:rPr>
          <w:rFonts w:ascii="Avenir Book" w:hAnsi="Avenir Book"/>
        </w:rPr>
      </w:pPr>
    </w:p>
    <w:p w14:paraId="0D4B519E" w14:textId="1D86DCA3" w:rsidR="00492A45" w:rsidRDefault="00492A45" w:rsidP="00FF0935">
      <w:pPr>
        <w:spacing w:line="360" w:lineRule="auto"/>
        <w:ind w:firstLine="720"/>
        <w:jc w:val="both"/>
        <w:rPr>
          <w:rFonts w:ascii="Avenir Book" w:hAnsi="Avenir Book"/>
        </w:rPr>
      </w:pPr>
    </w:p>
    <w:p w14:paraId="59CB2292" w14:textId="77777777" w:rsidR="00492A45" w:rsidRPr="00FF0935" w:rsidRDefault="00492A45" w:rsidP="00FF0935">
      <w:pPr>
        <w:spacing w:line="360" w:lineRule="auto"/>
        <w:ind w:firstLine="720"/>
        <w:jc w:val="both"/>
        <w:rPr>
          <w:rFonts w:ascii="Avenir Book" w:hAnsi="Avenir Book"/>
        </w:rPr>
      </w:pPr>
    </w:p>
    <w:p w14:paraId="59A5CECD" w14:textId="58F367AD" w:rsidR="000F6C1C" w:rsidRPr="00EB58C1" w:rsidRDefault="000F6C1C" w:rsidP="001161E1">
      <w:pPr>
        <w:pStyle w:val="Head3"/>
      </w:pPr>
      <w:r>
        <w:lastRenderedPageBreak/>
        <w:t>A Closer Look at Montgomery County</w:t>
      </w:r>
      <w:bookmarkEnd w:id="7"/>
    </w:p>
    <w:p w14:paraId="48FB63E4" w14:textId="77777777" w:rsidR="000F6C1C" w:rsidRPr="00EB58C1" w:rsidRDefault="000F6C1C" w:rsidP="00EB58C1">
      <w:pPr>
        <w:spacing w:line="360" w:lineRule="auto"/>
        <w:ind w:firstLine="720"/>
        <w:jc w:val="both"/>
        <w:rPr>
          <w:rFonts w:ascii="Avenir Book" w:hAnsi="Avenir Book"/>
        </w:rPr>
      </w:pPr>
      <w:r w:rsidRPr="00EB58C1">
        <w:rPr>
          <w:rFonts w:ascii="Avenir Book" w:hAnsi="Avenir Book"/>
        </w:rPr>
        <w:t xml:space="preserve">Pennsylvania </w:t>
      </w:r>
      <w:sdt>
        <w:sdtPr>
          <w:rPr>
            <w:rFonts w:ascii="Avenir Book" w:hAnsi="Avenir Book"/>
          </w:rPr>
          <w:tag w:val="goog_rdk_39"/>
          <w:id w:val="-907149624"/>
        </w:sdtPr>
        <w:sdtEndPr/>
        <w:sdtContent/>
      </w:sdt>
      <w:r w:rsidR="00460145" w:rsidRPr="00EB58C1">
        <w:rPr>
          <w:rFonts w:ascii="Avenir Book" w:hAnsi="Avenir Book"/>
        </w:rPr>
        <w:t>organizes</w:t>
      </w:r>
      <w:r w:rsidRPr="00EB58C1">
        <w:rPr>
          <w:rFonts w:ascii="Avenir Book" w:hAnsi="Avenir Book"/>
        </w:rPr>
        <w:t xml:space="preserve"> its counties by class, as determined by size of the county’s population.</w:t>
      </w:r>
      <w:r w:rsidRPr="00EB58C1">
        <w:rPr>
          <w:rFonts w:ascii="Avenir Book" w:hAnsi="Avenir Book"/>
          <w:vertAlign w:val="superscript"/>
        </w:rPr>
        <w:endnoteReference w:id="41"/>
      </w:r>
      <w:r w:rsidRPr="00EB58C1">
        <w:rPr>
          <w:rFonts w:ascii="Avenir Book" w:hAnsi="Avenir Book"/>
        </w:rPr>
        <w:t xml:space="preserve"> The classes range from Class 1 to Class 8, with Class 1 encompassing those counties with the highest populations, down to Class 8, </w:t>
      </w:r>
      <w:sdt>
        <w:sdtPr>
          <w:rPr>
            <w:rFonts w:ascii="Avenir Book" w:hAnsi="Avenir Book"/>
          </w:rPr>
          <w:tag w:val="goog_rdk_40"/>
          <w:id w:val="371202154"/>
        </w:sdtPr>
        <w:sdtEndPr/>
        <w:sdtContent>
          <w:r w:rsidRPr="00EB58C1">
            <w:rPr>
              <w:rFonts w:ascii="Avenir Book" w:hAnsi="Avenir Book"/>
            </w:rPr>
            <w:t>which</w:t>
          </w:r>
        </w:sdtContent>
      </w:sdt>
      <w:r w:rsidRPr="00EB58C1">
        <w:rPr>
          <w:rFonts w:ascii="Avenir Book" w:hAnsi="Avenir Book"/>
        </w:rPr>
        <w:t xml:space="preserve"> includes those having the lowest.</w:t>
      </w:r>
      <w:r w:rsidRPr="00EB58C1">
        <w:rPr>
          <w:rFonts w:ascii="Avenir Book" w:hAnsi="Avenir Book"/>
          <w:vertAlign w:val="superscript"/>
        </w:rPr>
        <w:endnoteReference w:id="42"/>
      </w:r>
      <w:r w:rsidRPr="00EB58C1">
        <w:rPr>
          <w:rFonts w:ascii="Avenir Book" w:hAnsi="Avenir Book"/>
        </w:rPr>
        <w:t xml:space="preserve"> Philadelphia County is the only Class 1 County in the state.</w:t>
      </w:r>
      <w:r w:rsidRPr="00EB58C1">
        <w:rPr>
          <w:rFonts w:ascii="Avenir Book" w:hAnsi="Avenir Book"/>
          <w:vertAlign w:val="superscript"/>
        </w:rPr>
        <w:endnoteReference w:id="43"/>
      </w:r>
      <w:r w:rsidRPr="00EB58C1">
        <w:rPr>
          <w:rFonts w:ascii="Avenir Book" w:hAnsi="Avenir Book"/>
        </w:rPr>
        <w:t xml:space="preserve"> </w:t>
      </w:r>
    </w:p>
    <w:p w14:paraId="7E90AFB9" w14:textId="60FA0E35" w:rsidR="00DE496D" w:rsidRDefault="000F6C1C" w:rsidP="00DE496D">
      <w:pPr>
        <w:spacing w:line="360" w:lineRule="auto"/>
        <w:ind w:firstLine="720"/>
        <w:jc w:val="both"/>
        <w:rPr>
          <w:rFonts w:ascii="Avenir Book" w:hAnsi="Avenir Book"/>
        </w:rPr>
      </w:pPr>
      <w:r w:rsidRPr="00EB58C1">
        <w:rPr>
          <w:rFonts w:ascii="Avenir Book" w:hAnsi="Avenir Book"/>
        </w:rPr>
        <w:t>Montgomery County is designated as Class 2A, which includes counties with populations between 500,000 and 800,000.</w:t>
      </w:r>
      <w:r w:rsidRPr="00EB58C1">
        <w:rPr>
          <w:rFonts w:ascii="Avenir Book" w:hAnsi="Avenir Book"/>
          <w:vertAlign w:val="superscript"/>
        </w:rPr>
        <w:endnoteReference w:id="44"/>
      </w:r>
      <w:r w:rsidRPr="00EB58C1">
        <w:rPr>
          <w:rFonts w:ascii="Avenir Book" w:hAnsi="Avenir Book"/>
        </w:rPr>
        <w:t xml:space="preserve"> </w:t>
      </w:r>
    </w:p>
    <w:p w14:paraId="2998C149" w14:textId="73FFF8EB" w:rsidR="00FF0935" w:rsidRPr="00DE496D" w:rsidRDefault="000E2E79" w:rsidP="00DE496D">
      <w:pPr>
        <w:spacing w:line="360" w:lineRule="auto"/>
        <w:jc w:val="both"/>
        <w:rPr>
          <w:rFonts w:ascii="Avenir Book" w:hAnsi="Avenir Book"/>
        </w:rPr>
      </w:pPr>
      <w:r>
        <w:rPr>
          <w:noProof/>
          <w:sz w:val="10"/>
          <w:szCs w:val="10"/>
        </w:rPr>
        <w:pict w14:anchorId="56AAED8C">
          <v:rect id="_x0000_i1046" alt="" style="width:468pt;height:.05pt;mso-width-percent:0;mso-height-percent:0;mso-width-percent:0;mso-height-percent:0" o:hralign="center" o:hrstd="t" o:hr="t" fillcolor="#a0a0a0" stroked="f"/>
        </w:pict>
      </w:r>
    </w:p>
    <w:tbl>
      <w:tblPr>
        <w:tblStyle w:val="TableGrid"/>
        <w:tblW w:w="0" w:type="auto"/>
        <w:tblLook w:val="04A0" w:firstRow="1" w:lastRow="0" w:firstColumn="1" w:lastColumn="0" w:noHBand="0" w:noVBand="1"/>
      </w:tblPr>
      <w:tblGrid>
        <w:gridCol w:w="4548"/>
        <w:gridCol w:w="4722"/>
      </w:tblGrid>
      <w:tr w:rsidR="00EB58C1" w14:paraId="531894C6" w14:textId="77777777" w:rsidTr="00FF0935">
        <w:tc>
          <w:tcPr>
            <w:tcW w:w="9270" w:type="dxa"/>
            <w:gridSpan w:val="2"/>
            <w:tcBorders>
              <w:top w:val="single" w:sz="36" w:space="0" w:color="91211B"/>
              <w:left w:val="single" w:sz="36" w:space="0" w:color="91211B"/>
              <w:bottom w:val="single" w:sz="36" w:space="0" w:color="91211B"/>
              <w:right w:val="single" w:sz="36" w:space="0" w:color="91211B"/>
            </w:tcBorders>
            <w:shd w:val="clear" w:color="auto" w:fill="91211B"/>
          </w:tcPr>
          <w:p w14:paraId="36B183C3" w14:textId="65A2B978" w:rsidR="00EB58C1" w:rsidRPr="00FF0935" w:rsidRDefault="00EB58C1" w:rsidP="00FF0935">
            <w:pPr>
              <w:spacing w:beforeLines="40" w:before="96" w:afterLines="40" w:after="96"/>
              <w:jc w:val="center"/>
              <w:rPr>
                <w:sz w:val="30"/>
                <w:szCs w:val="30"/>
              </w:rPr>
            </w:pPr>
            <w:r w:rsidRPr="007F38C9">
              <w:rPr>
                <w:rFonts w:ascii="Avenir Black Oblique" w:hAnsi="Avenir Black Oblique"/>
                <w:i/>
                <w:iCs/>
                <w:color w:val="FFFFFF" w:themeColor="background1"/>
                <w:sz w:val="28"/>
                <w:szCs w:val="28"/>
              </w:rPr>
              <w:t>Montgomery County Demographics</w:t>
            </w:r>
          </w:p>
        </w:tc>
      </w:tr>
      <w:tr w:rsidR="00EB58C1" w14:paraId="6BC33AB6" w14:textId="77777777" w:rsidTr="00FF0935">
        <w:tc>
          <w:tcPr>
            <w:tcW w:w="4548" w:type="dxa"/>
            <w:tcBorders>
              <w:top w:val="single" w:sz="36" w:space="0" w:color="91211B"/>
              <w:left w:val="single" w:sz="36" w:space="0" w:color="91211B"/>
              <w:bottom w:val="single" w:sz="18" w:space="0" w:color="404040" w:themeColor="text1" w:themeTint="BF"/>
              <w:right w:val="single" w:sz="18" w:space="0" w:color="91211B"/>
            </w:tcBorders>
            <w:shd w:val="clear" w:color="auto" w:fill="404040" w:themeFill="text1" w:themeFillTint="BF"/>
          </w:tcPr>
          <w:p w14:paraId="0BBD2D60" w14:textId="7E10744D" w:rsidR="00EB58C1" w:rsidRPr="00DE496D" w:rsidRDefault="00DE496D" w:rsidP="00FF0935">
            <w:pPr>
              <w:spacing w:before="60" w:after="60"/>
              <w:jc w:val="center"/>
              <w:rPr>
                <w:rFonts w:ascii="Avenir Heavy Oblique" w:hAnsi="Avenir Heavy Oblique"/>
                <w:b/>
                <w:bCs/>
                <w:i/>
                <w:iCs/>
                <w:color w:val="FFFFFF" w:themeColor="background1"/>
              </w:rPr>
            </w:pPr>
            <w:r w:rsidRPr="00DE496D">
              <w:rPr>
                <w:rFonts w:ascii="Avenir Heavy Oblique" w:hAnsi="Avenir Heavy Oblique"/>
                <w:b/>
                <w:bCs/>
                <w:i/>
                <w:iCs/>
                <w:color w:val="FFFFFF" w:themeColor="background1"/>
              </w:rPr>
              <w:t>Current Population</w:t>
            </w:r>
          </w:p>
        </w:tc>
        <w:tc>
          <w:tcPr>
            <w:tcW w:w="4722" w:type="dxa"/>
            <w:tcBorders>
              <w:top w:val="single" w:sz="36" w:space="0" w:color="91211B"/>
              <w:left w:val="single" w:sz="18" w:space="0" w:color="91211B"/>
              <w:bottom w:val="single" w:sz="18" w:space="0" w:color="404040" w:themeColor="text1" w:themeTint="BF"/>
              <w:right w:val="single" w:sz="36" w:space="0" w:color="91211B"/>
            </w:tcBorders>
          </w:tcPr>
          <w:p w14:paraId="738260A9" w14:textId="4D46805D" w:rsidR="00EB58C1" w:rsidRPr="00FF0935" w:rsidRDefault="00EB58C1" w:rsidP="00FF0935">
            <w:pPr>
              <w:spacing w:before="60" w:after="60"/>
              <w:jc w:val="center"/>
              <w:rPr>
                <w:rFonts w:ascii="Avenir Book" w:hAnsi="Avenir Book"/>
              </w:rPr>
            </w:pPr>
            <w:r w:rsidRPr="00FF0935">
              <w:rPr>
                <w:rFonts w:ascii="Avenir Book" w:hAnsi="Avenir Book"/>
              </w:rPr>
              <w:t>830,915</w:t>
            </w:r>
          </w:p>
        </w:tc>
      </w:tr>
      <w:tr w:rsidR="00EB58C1" w14:paraId="3A493C81" w14:textId="77777777" w:rsidTr="00FF0935">
        <w:tc>
          <w:tcPr>
            <w:tcW w:w="4548" w:type="dxa"/>
            <w:tcBorders>
              <w:top w:val="single" w:sz="18" w:space="0" w:color="404040" w:themeColor="text1" w:themeTint="BF"/>
              <w:left w:val="single" w:sz="36" w:space="0" w:color="91211B"/>
              <w:bottom w:val="single" w:sz="18" w:space="0" w:color="404040" w:themeColor="text1" w:themeTint="BF"/>
              <w:right w:val="single" w:sz="18" w:space="0" w:color="91211B"/>
            </w:tcBorders>
            <w:shd w:val="clear" w:color="auto" w:fill="404040" w:themeFill="text1" w:themeFillTint="BF"/>
          </w:tcPr>
          <w:p w14:paraId="3BB05A1E" w14:textId="45FFCF8A" w:rsidR="00EB58C1" w:rsidRPr="00DE496D" w:rsidRDefault="00DE496D" w:rsidP="00FF0935">
            <w:pPr>
              <w:spacing w:before="60" w:after="60"/>
              <w:jc w:val="center"/>
              <w:rPr>
                <w:rFonts w:ascii="Avenir Heavy Oblique" w:hAnsi="Avenir Heavy Oblique"/>
                <w:b/>
                <w:bCs/>
                <w:i/>
                <w:iCs/>
                <w:color w:val="FFFFFF" w:themeColor="background1"/>
              </w:rPr>
            </w:pPr>
            <w:r w:rsidRPr="00DE496D">
              <w:rPr>
                <w:rFonts w:ascii="Avenir Heavy Oblique" w:hAnsi="Avenir Heavy Oblique"/>
                <w:b/>
                <w:bCs/>
                <w:i/>
                <w:iCs/>
                <w:color w:val="FFFFFF" w:themeColor="background1"/>
              </w:rPr>
              <w:t>Municipalities/Townships</w:t>
            </w:r>
          </w:p>
        </w:tc>
        <w:tc>
          <w:tcPr>
            <w:tcW w:w="4722" w:type="dxa"/>
            <w:tcBorders>
              <w:top w:val="single" w:sz="18" w:space="0" w:color="404040" w:themeColor="text1" w:themeTint="BF"/>
              <w:left w:val="single" w:sz="18" w:space="0" w:color="91211B"/>
              <w:bottom w:val="single" w:sz="18" w:space="0" w:color="404040" w:themeColor="text1" w:themeTint="BF"/>
              <w:right w:val="single" w:sz="36" w:space="0" w:color="91211B"/>
            </w:tcBorders>
          </w:tcPr>
          <w:p w14:paraId="777E106E" w14:textId="2DFDE997" w:rsidR="00EB58C1" w:rsidRPr="00FF0935" w:rsidRDefault="00EB58C1" w:rsidP="00FF0935">
            <w:pPr>
              <w:spacing w:before="60" w:after="60"/>
              <w:jc w:val="center"/>
              <w:rPr>
                <w:rFonts w:ascii="Avenir Book" w:hAnsi="Avenir Book"/>
              </w:rPr>
            </w:pPr>
            <w:r w:rsidRPr="00FF0935">
              <w:rPr>
                <w:rFonts w:ascii="Avenir Book" w:hAnsi="Avenir Book"/>
              </w:rPr>
              <w:t>6</w:t>
            </w:r>
            <w:r w:rsidR="0051364B">
              <w:rPr>
                <w:rFonts w:ascii="Avenir Book" w:hAnsi="Avenir Book"/>
              </w:rPr>
              <w:t>2</w:t>
            </w:r>
          </w:p>
        </w:tc>
      </w:tr>
      <w:tr w:rsidR="00EB58C1" w14:paraId="26F9E1D3" w14:textId="77777777" w:rsidTr="00FF0935">
        <w:tc>
          <w:tcPr>
            <w:tcW w:w="4548" w:type="dxa"/>
            <w:tcBorders>
              <w:top w:val="single" w:sz="18" w:space="0" w:color="404040" w:themeColor="text1" w:themeTint="BF"/>
              <w:left w:val="single" w:sz="36" w:space="0" w:color="91211B"/>
              <w:bottom w:val="single" w:sz="18" w:space="0" w:color="404040" w:themeColor="text1" w:themeTint="BF"/>
              <w:right w:val="single" w:sz="18" w:space="0" w:color="91211B"/>
            </w:tcBorders>
            <w:shd w:val="clear" w:color="auto" w:fill="404040" w:themeFill="text1" w:themeFillTint="BF"/>
          </w:tcPr>
          <w:p w14:paraId="26A2F41C" w14:textId="308471BF" w:rsidR="00EB58C1" w:rsidRPr="00DE496D" w:rsidRDefault="00DE496D" w:rsidP="00FF0935">
            <w:pPr>
              <w:spacing w:before="60" w:after="60"/>
              <w:jc w:val="center"/>
              <w:rPr>
                <w:rFonts w:ascii="Avenir Heavy Oblique" w:hAnsi="Avenir Heavy Oblique"/>
                <w:b/>
                <w:bCs/>
                <w:i/>
                <w:iCs/>
                <w:color w:val="FFFFFF" w:themeColor="background1"/>
              </w:rPr>
            </w:pPr>
            <w:r w:rsidRPr="00DE496D">
              <w:rPr>
                <w:rFonts w:ascii="Avenir Heavy Oblique" w:hAnsi="Avenir Heavy Oblique"/>
                <w:b/>
                <w:bCs/>
                <w:i/>
                <w:iCs/>
                <w:color w:val="FFFFFF" w:themeColor="background1"/>
              </w:rPr>
              <w:t>Median Age</w:t>
            </w:r>
          </w:p>
        </w:tc>
        <w:tc>
          <w:tcPr>
            <w:tcW w:w="4722" w:type="dxa"/>
            <w:tcBorders>
              <w:top w:val="single" w:sz="18" w:space="0" w:color="404040" w:themeColor="text1" w:themeTint="BF"/>
              <w:left w:val="single" w:sz="18" w:space="0" w:color="91211B"/>
              <w:bottom w:val="single" w:sz="18" w:space="0" w:color="404040" w:themeColor="text1" w:themeTint="BF"/>
              <w:right w:val="single" w:sz="36" w:space="0" w:color="91211B"/>
            </w:tcBorders>
          </w:tcPr>
          <w:p w14:paraId="547BA871" w14:textId="16DBDA58" w:rsidR="00EB58C1" w:rsidRPr="00FF0935" w:rsidRDefault="00EB58C1" w:rsidP="00FF0935">
            <w:pPr>
              <w:spacing w:before="60" w:after="60"/>
              <w:jc w:val="center"/>
              <w:rPr>
                <w:rFonts w:ascii="Avenir Book" w:hAnsi="Avenir Book"/>
              </w:rPr>
            </w:pPr>
            <w:r w:rsidRPr="00FF0935">
              <w:rPr>
                <w:rFonts w:ascii="Avenir Book" w:hAnsi="Avenir Book"/>
              </w:rPr>
              <w:t>41.2</w:t>
            </w:r>
          </w:p>
        </w:tc>
      </w:tr>
      <w:tr w:rsidR="00EB58C1" w14:paraId="098B3DE2" w14:textId="77777777" w:rsidTr="00FF0935">
        <w:tc>
          <w:tcPr>
            <w:tcW w:w="4548" w:type="dxa"/>
            <w:tcBorders>
              <w:top w:val="single" w:sz="18" w:space="0" w:color="404040" w:themeColor="text1" w:themeTint="BF"/>
              <w:left w:val="single" w:sz="36" w:space="0" w:color="91211B"/>
              <w:bottom w:val="single" w:sz="18" w:space="0" w:color="404040" w:themeColor="text1" w:themeTint="BF"/>
              <w:right w:val="single" w:sz="18" w:space="0" w:color="91211B"/>
            </w:tcBorders>
            <w:shd w:val="clear" w:color="auto" w:fill="404040" w:themeFill="text1" w:themeFillTint="BF"/>
          </w:tcPr>
          <w:p w14:paraId="5B592F45" w14:textId="4D27C308" w:rsidR="00EB58C1" w:rsidRPr="00DE496D" w:rsidRDefault="00DE496D" w:rsidP="00FF0935">
            <w:pPr>
              <w:spacing w:before="60" w:after="60"/>
              <w:jc w:val="center"/>
              <w:rPr>
                <w:rFonts w:ascii="Avenir Heavy Oblique" w:hAnsi="Avenir Heavy Oblique"/>
                <w:b/>
                <w:bCs/>
                <w:i/>
                <w:iCs/>
                <w:color w:val="FFFFFF" w:themeColor="background1"/>
              </w:rPr>
            </w:pPr>
            <w:r w:rsidRPr="00DE496D">
              <w:rPr>
                <w:rFonts w:ascii="Avenir Heavy Oblique" w:hAnsi="Avenir Heavy Oblique"/>
                <w:b/>
                <w:bCs/>
                <w:i/>
                <w:iCs/>
                <w:color w:val="FFFFFF" w:themeColor="background1"/>
              </w:rPr>
              <w:t>Median Household Income</w:t>
            </w:r>
          </w:p>
        </w:tc>
        <w:tc>
          <w:tcPr>
            <w:tcW w:w="4722" w:type="dxa"/>
            <w:tcBorders>
              <w:top w:val="single" w:sz="18" w:space="0" w:color="404040" w:themeColor="text1" w:themeTint="BF"/>
              <w:left w:val="single" w:sz="18" w:space="0" w:color="91211B"/>
              <w:bottom w:val="single" w:sz="18" w:space="0" w:color="404040" w:themeColor="text1" w:themeTint="BF"/>
              <w:right w:val="single" w:sz="36" w:space="0" w:color="91211B"/>
            </w:tcBorders>
          </w:tcPr>
          <w:p w14:paraId="07775F2F" w14:textId="73102F4C" w:rsidR="00EB58C1" w:rsidRPr="00FF0935" w:rsidRDefault="00EB58C1" w:rsidP="00FF0935">
            <w:pPr>
              <w:spacing w:before="60" w:after="60"/>
              <w:jc w:val="center"/>
              <w:rPr>
                <w:rFonts w:ascii="Avenir Book" w:hAnsi="Avenir Book"/>
              </w:rPr>
            </w:pPr>
            <w:r w:rsidRPr="00FF0935">
              <w:rPr>
                <w:rFonts w:ascii="Avenir Book" w:hAnsi="Avenir Book"/>
              </w:rPr>
              <w:t>$88,166</w:t>
            </w:r>
          </w:p>
        </w:tc>
      </w:tr>
      <w:tr w:rsidR="00EB58C1" w14:paraId="52B7516B" w14:textId="77777777" w:rsidTr="00FF0935">
        <w:tc>
          <w:tcPr>
            <w:tcW w:w="4548" w:type="dxa"/>
            <w:tcBorders>
              <w:top w:val="single" w:sz="18" w:space="0" w:color="404040" w:themeColor="text1" w:themeTint="BF"/>
              <w:left w:val="single" w:sz="36" w:space="0" w:color="91211B"/>
              <w:bottom w:val="single" w:sz="18" w:space="0" w:color="404040" w:themeColor="text1" w:themeTint="BF"/>
              <w:right w:val="single" w:sz="18" w:space="0" w:color="91211B"/>
            </w:tcBorders>
            <w:shd w:val="clear" w:color="auto" w:fill="404040" w:themeFill="text1" w:themeFillTint="BF"/>
          </w:tcPr>
          <w:p w14:paraId="3DD1B63B" w14:textId="73A20C61" w:rsidR="00EB58C1" w:rsidRPr="00DE496D" w:rsidRDefault="00DE496D" w:rsidP="00FF0935">
            <w:pPr>
              <w:spacing w:before="60" w:after="60"/>
              <w:jc w:val="center"/>
              <w:rPr>
                <w:rFonts w:ascii="Avenir Heavy Oblique" w:hAnsi="Avenir Heavy Oblique"/>
                <w:b/>
                <w:bCs/>
                <w:i/>
                <w:iCs/>
                <w:color w:val="FFFFFF" w:themeColor="background1"/>
              </w:rPr>
            </w:pPr>
            <w:r w:rsidRPr="00DE496D">
              <w:rPr>
                <w:rFonts w:ascii="Avenir Heavy Oblique" w:hAnsi="Avenir Heavy Oblique"/>
                <w:b/>
                <w:bCs/>
                <w:i/>
                <w:iCs/>
                <w:color w:val="FFFFFF" w:themeColor="background1"/>
              </w:rPr>
              <w:t>Per Capita Income</w:t>
            </w:r>
          </w:p>
        </w:tc>
        <w:tc>
          <w:tcPr>
            <w:tcW w:w="4722" w:type="dxa"/>
            <w:tcBorders>
              <w:top w:val="single" w:sz="18" w:space="0" w:color="404040" w:themeColor="text1" w:themeTint="BF"/>
              <w:left w:val="single" w:sz="18" w:space="0" w:color="91211B"/>
              <w:bottom w:val="single" w:sz="18" w:space="0" w:color="404040" w:themeColor="text1" w:themeTint="BF"/>
              <w:right w:val="single" w:sz="36" w:space="0" w:color="91211B"/>
            </w:tcBorders>
          </w:tcPr>
          <w:p w14:paraId="3148D8F1" w14:textId="384DC581" w:rsidR="00EB58C1" w:rsidRPr="00FF0935" w:rsidRDefault="00EB58C1" w:rsidP="00FF0935">
            <w:pPr>
              <w:spacing w:before="60" w:after="60"/>
              <w:jc w:val="center"/>
              <w:rPr>
                <w:rFonts w:ascii="Avenir Book" w:hAnsi="Avenir Book"/>
              </w:rPr>
            </w:pPr>
            <w:r w:rsidRPr="00FF0935">
              <w:rPr>
                <w:rFonts w:ascii="Avenir Book" w:hAnsi="Avenir Book"/>
              </w:rPr>
              <w:t>$46,776</w:t>
            </w:r>
          </w:p>
        </w:tc>
      </w:tr>
      <w:tr w:rsidR="00EB58C1" w14:paraId="1AF73773" w14:textId="77777777" w:rsidTr="00FF0935">
        <w:tc>
          <w:tcPr>
            <w:tcW w:w="4548" w:type="dxa"/>
            <w:tcBorders>
              <w:top w:val="single" w:sz="18" w:space="0" w:color="404040" w:themeColor="text1" w:themeTint="BF"/>
              <w:left w:val="single" w:sz="36" w:space="0" w:color="91211B"/>
              <w:bottom w:val="single" w:sz="18" w:space="0" w:color="404040" w:themeColor="text1" w:themeTint="BF"/>
              <w:right w:val="single" w:sz="18" w:space="0" w:color="91211B"/>
            </w:tcBorders>
            <w:shd w:val="clear" w:color="auto" w:fill="404040" w:themeFill="text1" w:themeFillTint="BF"/>
          </w:tcPr>
          <w:p w14:paraId="5DBB54BB" w14:textId="34515CC4" w:rsidR="00EB58C1" w:rsidRPr="00DE496D" w:rsidRDefault="00DE496D" w:rsidP="00FF0935">
            <w:pPr>
              <w:spacing w:before="60" w:after="60"/>
              <w:jc w:val="center"/>
              <w:rPr>
                <w:rFonts w:ascii="Avenir Heavy Oblique" w:hAnsi="Avenir Heavy Oblique"/>
                <w:b/>
                <w:bCs/>
                <w:i/>
                <w:iCs/>
                <w:color w:val="FFFFFF" w:themeColor="background1"/>
              </w:rPr>
            </w:pPr>
            <w:r w:rsidRPr="00DE496D">
              <w:rPr>
                <w:rFonts w:ascii="Avenir Heavy Oblique" w:hAnsi="Avenir Heavy Oblique"/>
                <w:b/>
                <w:bCs/>
                <w:i/>
                <w:iCs/>
                <w:color w:val="FFFFFF" w:themeColor="background1"/>
              </w:rPr>
              <w:t>% of People Living in Poverty</w:t>
            </w:r>
          </w:p>
        </w:tc>
        <w:tc>
          <w:tcPr>
            <w:tcW w:w="4722" w:type="dxa"/>
            <w:tcBorders>
              <w:top w:val="single" w:sz="18" w:space="0" w:color="404040" w:themeColor="text1" w:themeTint="BF"/>
              <w:left w:val="single" w:sz="18" w:space="0" w:color="91211B"/>
              <w:bottom w:val="single" w:sz="18" w:space="0" w:color="404040" w:themeColor="text1" w:themeTint="BF"/>
              <w:right w:val="single" w:sz="36" w:space="0" w:color="91211B"/>
            </w:tcBorders>
          </w:tcPr>
          <w:p w14:paraId="76AE621F" w14:textId="457A5AC1" w:rsidR="00EB58C1" w:rsidRPr="00FF0935" w:rsidRDefault="00EB58C1" w:rsidP="00FF0935">
            <w:pPr>
              <w:spacing w:before="60" w:after="60"/>
              <w:jc w:val="center"/>
              <w:rPr>
                <w:rFonts w:ascii="Avenir Book" w:hAnsi="Avenir Book"/>
              </w:rPr>
            </w:pPr>
            <w:r w:rsidRPr="00FF0935">
              <w:rPr>
                <w:rFonts w:ascii="Avenir Book" w:hAnsi="Avenir Book"/>
              </w:rPr>
              <w:t>5.9%</w:t>
            </w:r>
          </w:p>
        </w:tc>
      </w:tr>
      <w:tr w:rsidR="00EB58C1" w14:paraId="08C5EB3B" w14:textId="77777777" w:rsidTr="00FF0935">
        <w:tc>
          <w:tcPr>
            <w:tcW w:w="4548" w:type="dxa"/>
            <w:tcBorders>
              <w:top w:val="single" w:sz="18" w:space="0" w:color="404040" w:themeColor="text1" w:themeTint="BF"/>
              <w:left w:val="single" w:sz="36" w:space="0" w:color="91211B"/>
              <w:bottom w:val="single" w:sz="18" w:space="0" w:color="404040" w:themeColor="text1" w:themeTint="BF"/>
              <w:right w:val="single" w:sz="18" w:space="0" w:color="91211B"/>
            </w:tcBorders>
            <w:shd w:val="clear" w:color="auto" w:fill="404040" w:themeFill="text1" w:themeFillTint="BF"/>
          </w:tcPr>
          <w:p w14:paraId="1916F7BE" w14:textId="7DA068D8" w:rsidR="00EB58C1" w:rsidRPr="00DE496D" w:rsidRDefault="00DE496D" w:rsidP="00FF0935">
            <w:pPr>
              <w:spacing w:before="60" w:after="60"/>
              <w:jc w:val="center"/>
              <w:rPr>
                <w:rFonts w:ascii="Avenir Heavy Oblique" w:hAnsi="Avenir Heavy Oblique"/>
                <w:b/>
                <w:bCs/>
                <w:i/>
                <w:iCs/>
                <w:color w:val="FFFFFF" w:themeColor="background1"/>
              </w:rPr>
            </w:pPr>
            <w:r w:rsidRPr="00DE496D">
              <w:rPr>
                <w:rFonts w:ascii="Avenir Heavy Oblique" w:hAnsi="Avenir Heavy Oblique"/>
                <w:b/>
                <w:bCs/>
                <w:i/>
                <w:iCs/>
                <w:color w:val="FFFFFF" w:themeColor="background1"/>
              </w:rPr>
              <w:t>Ethnicity Breakdown</w:t>
            </w:r>
          </w:p>
        </w:tc>
        <w:tc>
          <w:tcPr>
            <w:tcW w:w="4722" w:type="dxa"/>
            <w:tcBorders>
              <w:top w:val="single" w:sz="18" w:space="0" w:color="404040" w:themeColor="text1" w:themeTint="BF"/>
              <w:left w:val="single" w:sz="18" w:space="0" w:color="91211B"/>
              <w:bottom w:val="single" w:sz="18" w:space="0" w:color="404040" w:themeColor="text1" w:themeTint="BF"/>
              <w:right w:val="single" w:sz="36" w:space="0" w:color="91211B"/>
            </w:tcBorders>
          </w:tcPr>
          <w:p w14:paraId="7E53F427" w14:textId="77777777" w:rsidR="00EB58C1" w:rsidRPr="00FF0935" w:rsidRDefault="00EB58C1" w:rsidP="00FF0935">
            <w:pPr>
              <w:numPr>
                <w:ilvl w:val="0"/>
                <w:numId w:val="16"/>
              </w:numPr>
              <w:pBdr>
                <w:top w:val="nil"/>
                <w:left w:val="nil"/>
                <w:bottom w:val="nil"/>
                <w:right w:val="nil"/>
                <w:between w:val="nil"/>
              </w:pBdr>
              <w:spacing w:before="60" w:after="60"/>
              <w:rPr>
                <w:rFonts w:ascii="Avenir Book" w:hAnsi="Avenir Book"/>
                <w:color w:val="000000"/>
              </w:rPr>
            </w:pPr>
            <w:r w:rsidRPr="00FF0935">
              <w:rPr>
                <w:rFonts w:ascii="Avenir Book" w:hAnsi="Avenir Book"/>
                <w:color w:val="000000"/>
              </w:rPr>
              <w:t>White: 75%</w:t>
            </w:r>
          </w:p>
          <w:p w14:paraId="75CA7CD1" w14:textId="77777777" w:rsidR="00EB58C1" w:rsidRPr="00FF0935" w:rsidRDefault="00EB58C1" w:rsidP="00FF0935">
            <w:pPr>
              <w:numPr>
                <w:ilvl w:val="0"/>
                <w:numId w:val="16"/>
              </w:numPr>
              <w:pBdr>
                <w:top w:val="nil"/>
                <w:left w:val="nil"/>
                <w:bottom w:val="nil"/>
                <w:right w:val="nil"/>
                <w:between w:val="nil"/>
              </w:pBdr>
              <w:spacing w:before="60" w:after="60"/>
              <w:rPr>
                <w:rFonts w:ascii="Avenir Book" w:hAnsi="Avenir Book"/>
                <w:color w:val="000000"/>
              </w:rPr>
            </w:pPr>
            <w:r w:rsidRPr="00FF0935">
              <w:rPr>
                <w:rFonts w:ascii="Avenir Book" w:hAnsi="Avenir Book"/>
                <w:color w:val="000000"/>
              </w:rPr>
              <w:t>Black or African American: 10%</w:t>
            </w:r>
          </w:p>
          <w:p w14:paraId="7423597B" w14:textId="77777777" w:rsidR="00EB58C1" w:rsidRPr="00FF0935" w:rsidRDefault="00EB58C1" w:rsidP="00FF0935">
            <w:pPr>
              <w:numPr>
                <w:ilvl w:val="0"/>
                <w:numId w:val="16"/>
              </w:numPr>
              <w:pBdr>
                <w:top w:val="nil"/>
                <w:left w:val="nil"/>
                <w:bottom w:val="nil"/>
                <w:right w:val="nil"/>
                <w:between w:val="nil"/>
              </w:pBdr>
              <w:spacing w:before="60" w:after="60"/>
              <w:rPr>
                <w:rFonts w:ascii="Avenir Book" w:hAnsi="Avenir Book"/>
                <w:color w:val="000000"/>
              </w:rPr>
            </w:pPr>
            <w:r w:rsidRPr="00FF0935">
              <w:rPr>
                <w:rFonts w:ascii="Avenir Book" w:hAnsi="Avenir Book"/>
                <w:color w:val="000000"/>
              </w:rPr>
              <w:t>Asian (Non-Hispanic): 8.1%</w:t>
            </w:r>
          </w:p>
          <w:p w14:paraId="0B2CB1C2" w14:textId="77777777" w:rsidR="00EB58C1" w:rsidRPr="00FF0935" w:rsidRDefault="00EB58C1" w:rsidP="00FF0935">
            <w:pPr>
              <w:numPr>
                <w:ilvl w:val="0"/>
                <w:numId w:val="16"/>
              </w:numPr>
              <w:pBdr>
                <w:top w:val="nil"/>
                <w:left w:val="nil"/>
                <w:bottom w:val="nil"/>
                <w:right w:val="nil"/>
                <w:between w:val="nil"/>
              </w:pBdr>
              <w:spacing w:before="60" w:after="60"/>
              <w:rPr>
                <w:rFonts w:ascii="Avenir Book" w:hAnsi="Avenir Book"/>
                <w:color w:val="000000"/>
              </w:rPr>
            </w:pPr>
            <w:r w:rsidRPr="00FF0935">
              <w:rPr>
                <w:rFonts w:ascii="Avenir Book" w:hAnsi="Avenir Book"/>
                <w:color w:val="000000"/>
              </w:rPr>
              <w:t>Hispanic or Latino: 5.4%</w:t>
            </w:r>
          </w:p>
          <w:p w14:paraId="4CAC0C82" w14:textId="77777777" w:rsidR="00EB58C1" w:rsidRPr="00FF0935" w:rsidRDefault="00EB58C1" w:rsidP="00FF0935">
            <w:pPr>
              <w:numPr>
                <w:ilvl w:val="0"/>
                <w:numId w:val="16"/>
              </w:numPr>
              <w:pBdr>
                <w:top w:val="nil"/>
                <w:left w:val="nil"/>
                <w:bottom w:val="nil"/>
                <w:right w:val="nil"/>
                <w:between w:val="nil"/>
              </w:pBdr>
              <w:spacing w:before="60" w:after="60"/>
              <w:rPr>
                <w:rFonts w:ascii="Avenir Book" w:hAnsi="Avenir Book"/>
                <w:color w:val="000000"/>
              </w:rPr>
            </w:pPr>
            <w:r w:rsidRPr="00FF0935">
              <w:rPr>
                <w:rFonts w:ascii="Avenir Book" w:hAnsi="Avenir Book"/>
                <w:color w:val="000000"/>
              </w:rPr>
              <w:t>Two or More Races: 2.3%</w:t>
            </w:r>
          </w:p>
          <w:p w14:paraId="0F751083" w14:textId="77777777" w:rsidR="00EB58C1" w:rsidRPr="00FF0935" w:rsidRDefault="00EB58C1" w:rsidP="00FF0935">
            <w:pPr>
              <w:numPr>
                <w:ilvl w:val="0"/>
                <w:numId w:val="16"/>
              </w:numPr>
              <w:pBdr>
                <w:top w:val="nil"/>
                <w:left w:val="nil"/>
                <w:bottom w:val="nil"/>
                <w:right w:val="nil"/>
                <w:between w:val="nil"/>
              </w:pBdr>
              <w:spacing w:before="60" w:after="60"/>
              <w:rPr>
                <w:rFonts w:ascii="Avenir Book" w:hAnsi="Avenir Book"/>
                <w:color w:val="000000"/>
              </w:rPr>
            </w:pPr>
            <w:r w:rsidRPr="00FF0935">
              <w:rPr>
                <w:rFonts w:ascii="Avenir Book" w:hAnsi="Avenir Book"/>
                <w:color w:val="000000"/>
              </w:rPr>
              <w:t>Native Hawaiian/Pacific Islander: 0.1%</w:t>
            </w:r>
          </w:p>
          <w:p w14:paraId="212AFA02" w14:textId="4004B3DE" w:rsidR="00EB58C1" w:rsidRPr="00FF0935" w:rsidRDefault="00EB58C1" w:rsidP="00FF0935">
            <w:pPr>
              <w:numPr>
                <w:ilvl w:val="0"/>
                <w:numId w:val="16"/>
              </w:numPr>
              <w:pBdr>
                <w:top w:val="nil"/>
                <w:left w:val="nil"/>
                <w:bottom w:val="nil"/>
                <w:right w:val="nil"/>
                <w:between w:val="nil"/>
              </w:pBdr>
              <w:spacing w:before="60" w:after="60"/>
              <w:rPr>
                <w:rFonts w:ascii="Avenir Book" w:hAnsi="Avenir Book"/>
                <w:color w:val="000000"/>
              </w:rPr>
            </w:pPr>
            <w:r w:rsidRPr="00FF0935">
              <w:rPr>
                <w:rFonts w:ascii="Avenir Book" w:hAnsi="Avenir Book"/>
                <w:color w:val="000000"/>
              </w:rPr>
              <w:t>Native American: 0.2%</w:t>
            </w:r>
          </w:p>
        </w:tc>
      </w:tr>
      <w:tr w:rsidR="00EB58C1" w14:paraId="0CAF9A58" w14:textId="77777777" w:rsidTr="00FF0935">
        <w:tc>
          <w:tcPr>
            <w:tcW w:w="4548" w:type="dxa"/>
            <w:tcBorders>
              <w:top w:val="single" w:sz="18" w:space="0" w:color="404040" w:themeColor="text1" w:themeTint="BF"/>
              <w:left w:val="single" w:sz="36" w:space="0" w:color="91211B"/>
              <w:bottom w:val="single" w:sz="18" w:space="0" w:color="404040" w:themeColor="text1" w:themeTint="BF"/>
              <w:right w:val="single" w:sz="18" w:space="0" w:color="91211B"/>
            </w:tcBorders>
            <w:shd w:val="clear" w:color="auto" w:fill="404040" w:themeFill="text1" w:themeFillTint="BF"/>
          </w:tcPr>
          <w:p w14:paraId="2BDDFB5F" w14:textId="5E5AE5B6" w:rsidR="00EB58C1" w:rsidRPr="00DE496D" w:rsidRDefault="00DE496D" w:rsidP="00FF0935">
            <w:pPr>
              <w:spacing w:before="60" w:after="60"/>
              <w:jc w:val="center"/>
              <w:rPr>
                <w:rFonts w:ascii="Avenir Heavy Oblique" w:hAnsi="Avenir Heavy Oblique"/>
                <w:b/>
                <w:bCs/>
                <w:i/>
                <w:iCs/>
                <w:color w:val="FFFFFF" w:themeColor="background1"/>
              </w:rPr>
            </w:pPr>
            <w:r w:rsidRPr="00DE496D">
              <w:rPr>
                <w:rFonts w:ascii="Avenir Heavy Oblique" w:hAnsi="Avenir Heavy Oblique"/>
                <w:b/>
                <w:bCs/>
                <w:i/>
                <w:iCs/>
                <w:color w:val="FFFFFF" w:themeColor="background1"/>
              </w:rPr>
              <w:t>Education</w:t>
            </w:r>
          </w:p>
        </w:tc>
        <w:tc>
          <w:tcPr>
            <w:tcW w:w="4722" w:type="dxa"/>
            <w:tcBorders>
              <w:top w:val="single" w:sz="18" w:space="0" w:color="404040" w:themeColor="text1" w:themeTint="BF"/>
              <w:left w:val="single" w:sz="18" w:space="0" w:color="91211B"/>
              <w:bottom w:val="single" w:sz="18" w:space="0" w:color="404040" w:themeColor="text1" w:themeTint="BF"/>
              <w:right w:val="single" w:sz="36" w:space="0" w:color="91211B"/>
            </w:tcBorders>
          </w:tcPr>
          <w:p w14:paraId="20B0B4BF" w14:textId="77777777" w:rsidR="00DE496D" w:rsidRPr="00FF0935" w:rsidRDefault="00EB58C1" w:rsidP="00FF0935">
            <w:pPr>
              <w:numPr>
                <w:ilvl w:val="0"/>
                <w:numId w:val="5"/>
              </w:numPr>
              <w:pBdr>
                <w:top w:val="nil"/>
                <w:left w:val="nil"/>
                <w:bottom w:val="nil"/>
                <w:right w:val="nil"/>
                <w:between w:val="nil"/>
              </w:pBdr>
              <w:spacing w:before="60" w:after="60"/>
              <w:ind w:left="437" w:hanging="450"/>
              <w:rPr>
                <w:rFonts w:ascii="Avenir Book" w:hAnsi="Avenir Book"/>
                <w:color w:val="000000"/>
              </w:rPr>
            </w:pPr>
            <w:r w:rsidRPr="00FF0935">
              <w:rPr>
                <w:rFonts w:ascii="Avenir Book" w:hAnsi="Avenir Book"/>
                <w:color w:val="000000"/>
              </w:rPr>
              <w:t>94.2%: high school graduate or higher (ages 25+)</w:t>
            </w:r>
          </w:p>
          <w:p w14:paraId="7E01232E" w14:textId="7A977D59" w:rsidR="00EB58C1" w:rsidRPr="00FF0935" w:rsidRDefault="00EB58C1" w:rsidP="00FF0935">
            <w:pPr>
              <w:numPr>
                <w:ilvl w:val="0"/>
                <w:numId w:val="5"/>
              </w:numPr>
              <w:pBdr>
                <w:top w:val="nil"/>
                <w:left w:val="nil"/>
                <w:bottom w:val="nil"/>
                <w:right w:val="nil"/>
                <w:between w:val="nil"/>
              </w:pBdr>
              <w:spacing w:before="60" w:after="60"/>
              <w:ind w:left="437" w:hanging="450"/>
              <w:rPr>
                <w:rFonts w:ascii="Avenir Book" w:hAnsi="Avenir Book"/>
                <w:color w:val="000000"/>
              </w:rPr>
            </w:pPr>
            <w:r w:rsidRPr="00FF0935">
              <w:rPr>
                <w:rFonts w:ascii="Avenir Book" w:hAnsi="Avenir Book"/>
                <w:color w:val="000000"/>
              </w:rPr>
              <w:t>48.7%: Bachelor’s Degree or higher (ages 25+)</w:t>
            </w:r>
          </w:p>
        </w:tc>
      </w:tr>
      <w:tr w:rsidR="00EB58C1" w14:paraId="589256B1" w14:textId="77777777" w:rsidTr="00FF0935">
        <w:tc>
          <w:tcPr>
            <w:tcW w:w="4548" w:type="dxa"/>
            <w:tcBorders>
              <w:top w:val="single" w:sz="18" w:space="0" w:color="404040" w:themeColor="text1" w:themeTint="BF"/>
              <w:left w:val="single" w:sz="36" w:space="0" w:color="91211B"/>
              <w:bottom w:val="single" w:sz="36" w:space="0" w:color="91211B"/>
              <w:right w:val="single" w:sz="18" w:space="0" w:color="91211B"/>
            </w:tcBorders>
            <w:shd w:val="clear" w:color="auto" w:fill="404040" w:themeFill="text1" w:themeFillTint="BF"/>
          </w:tcPr>
          <w:p w14:paraId="47C0D48C" w14:textId="7D0F07A8" w:rsidR="00EB58C1" w:rsidRPr="00DE496D" w:rsidRDefault="00DE496D" w:rsidP="00FF0935">
            <w:pPr>
              <w:spacing w:before="60" w:after="60"/>
              <w:jc w:val="center"/>
              <w:rPr>
                <w:rFonts w:ascii="Avenir Heavy Oblique" w:hAnsi="Avenir Heavy Oblique"/>
                <w:b/>
                <w:bCs/>
                <w:i/>
                <w:iCs/>
                <w:color w:val="FFFFFF" w:themeColor="background1"/>
              </w:rPr>
            </w:pPr>
            <w:r w:rsidRPr="00DE496D">
              <w:rPr>
                <w:rFonts w:ascii="Avenir Heavy Oblique" w:hAnsi="Avenir Heavy Oblique"/>
                <w:b/>
                <w:bCs/>
                <w:i/>
                <w:iCs/>
                <w:color w:val="FFFFFF" w:themeColor="background1"/>
              </w:rPr>
              <w:t xml:space="preserve"> Employment</w:t>
            </w:r>
          </w:p>
        </w:tc>
        <w:tc>
          <w:tcPr>
            <w:tcW w:w="4722" w:type="dxa"/>
            <w:tcBorders>
              <w:top w:val="single" w:sz="18" w:space="0" w:color="404040" w:themeColor="text1" w:themeTint="BF"/>
              <w:left w:val="single" w:sz="18" w:space="0" w:color="91211B"/>
              <w:bottom w:val="single" w:sz="36" w:space="0" w:color="91211B"/>
              <w:right w:val="single" w:sz="36" w:space="0" w:color="91211B"/>
            </w:tcBorders>
          </w:tcPr>
          <w:p w14:paraId="4BA6C9A3" w14:textId="7AF6F2F2" w:rsidR="00EB58C1" w:rsidRPr="00FF0935" w:rsidRDefault="00EB58C1" w:rsidP="00FF0935">
            <w:pPr>
              <w:spacing w:before="60" w:after="60"/>
              <w:jc w:val="center"/>
              <w:rPr>
                <w:rFonts w:ascii="Avenir Book" w:hAnsi="Avenir Book"/>
              </w:rPr>
            </w:pPr>
            <w:r w:rsidRPr="00FF0935">
              <w:rPr>
                <w:rFonts w:ascii="Avenir Book" w:hAnsi="Avenir Book"/>
              </w:rPr>
              <w:t>514,853 persons</w:t>
            </w:r>
          </w:p>
        </w:tc>
      </w:tr>
    </w:tbl>
    <w:p w14:paraId="0249CF48" w14:textId="6ABB6962" w:rsidR="000F6C1C" w:rsidRDefault="000E2E79" w:rsidP="00FF0935">
      <w:pPr>
        <w:spacing w:line="480" w:lineRule="auto"/>
        <w:jc w:val="both"/>
      </w:pPr>
      <w:r>
        <w:rPr>
          <w:noProof/>
          <w:sz w:val="10"/>
          <w:szCs w:val="10"/>
        </w:rPr>
        <w:pict w14:anchorId="005C51A2">
          <v:rect id="_x0000_i1045" alt="" style="width:468pt;height:.05pt;mso-width-percent:0;mso-height-percent:0;mso-width-percent:0;mso-height-percent:0" o:hralign="center" o:hrstd="t" o:hr="t" fillcolor="#a0a0a0" stroked="f"/>
        </w:pict>
      </w:r>
    </w:p>
    <w:p w14:paraId="69A220CC" w14:textId="77777777" w:rsidR="003F1B4B" w:rsidRDefault="003F1B4B" w:rsidP="00FF0935">
      <w:pPr>
        <w:spacing w:line="360" w:lineRule="auto"/>
        <w:ind w:firstLine="720"/>
        <w:jc w:val="both"/>
        <w:rPr>
          <w:rFonts w:ascii="Avenir Book" w:hAnsi="Avenir Book"/>
        </w:rPr>
      </w:pPr>
    </w:p>
    <w:p w14:paraId="7E09E154" w14:textId="0BD13011" w:rsidR="00DE496D" w:rsidRDefault="007C6E2C" w:rsidP="00FF0935">
      <w:pPr>
        <w:spacing w:line="360" w:lineRule="auto"/>
        <w:ind w:firstLine="720"/>
        <w:jc w:val="both"/>
        <w:rPr>
          <w:rFonts w:ascii="Avenir Book" w:hAnsi="Avenir Book"/>
        </w:rPr>
      </w:pPr>
      <w:r w:rsidRPr="00DE496D">
        <w:rPr>
          <w:rFonts w:ascii="Avenir Book" w:hAnsi="Avenir Book"/>
        </w:rPr>
        <w:t>Delaware and Bucks counties, which are “</w:t>
      </w:r>
      <w:sdt>
        <w:sdtPr>
          <w:rPr>
            <w:rFonts w:ascii="Avenir Book" w:hAnsi="Avenir Book"/>
          </w:rPr>
          <w:tag w:val="goog_rdk_42"/>
          <w:id w:val="-217356199"/>
        </w:sdtPr>
        <w:sdtEndPr/>
        <w:sdtContent/>
      </w:sdt>
      <w:r w:rsidRPr="00DE496D">
        <w:rPr>
          <w:rFonts w:ascii="Avenir Book" w:hAnsi="Avenir Book"/>
        </w:rPr>
        <w:t>collar counties” of Philadelphia</w:t>
      </w:r>
      <w:r w:rsidR="003F1B4B">
        <w:rPr>
          <w:rFonts w:ascii="Avenir Book" w:hAnsi="Avenir Book"/>
        </w:rPr>
        <w:t>,</w:t>
      </w:r>
      <w:r w:rsidRPr="00DE496D">
        <w:rPr>
          <w:rStyle w:val="EndnoteReference"/>
          <w:rFonts w:ascii="Avenir Book" w:hAnsi="Avenir Book"/>
        </w:rPr>
        <w:endnoteReference w:id="45"/>
      </w:r>
      <w:r w:rsidRPr="00DE496D">
        <w:rPr>
          <w:rFonts w:ascii="Avenir Book" w:hAnsi="Avenir Book"/>
        </w:rPr>
        <w:t xml:space="preserve"> are also Class 2A counties and are, along many dimensions, comparable to Montgomery county.</w:t>
      </w:r>
      <w:r w:rsidRPr="00DE496D">
        <w:rPr>
          <w:rFonts w:ascii="Avenir Book" w:hAnsi="Avenir Book"/>
          <w:vertAlign w:val="superscript"/>
        </w:rPr>
        <w:endnoteReference w:id="46"/>
      </w:r>
      <w:r w:rsidRPr="00DE496D">
        <w:rPr>
          <w:rFonts w:ascii="Avenir Book" w:hAnsi="Avenir Book"/>
        </w:rPr>
        <w:t xml:space="preserve"> Chester county, the fourth collar county, is designated as Class 3. As the table below shows, each of these counties </w:t>
      </w:r>
      <w:r w:rsidR="005E5C7C" w:rsidRPr="00DE496D">
        <w:rPr>
          <w:rFonts w:ascii="Avenir Book" w:hAnsi="Avenir Book"/>
        </w:rPr>
        <w:t>allocate</w:t>
      </w:r>
      <w:r w:rsidRPr="00DE496D">
        <w:rPr>
          <w:rFonts w:ascii="Avenir Book" w:hAnsi="Avenir Book"/>
        </w:rPr>
        <w:t xml:space="preserve"> significantly more o</w:t>
      </w:r>
      <w:r w:rsidR="005E5C7C" w:rsidRPr="00DE496D">
        <w:rPr>
          <w:rFonts w:ascii="Avenir Book" w:hAnsi="Avenir Book"/>
        </w:rPr>
        <w:t xml:space="preserve">f their budgets to the District Attorney than to indigent defense. </w:t>
      </w:r>
      <w:r w:rsidR="00F02A00" w:rsidRPr="00DE496D">
        <w:rPr>
          <w:rFonts w:ascii="Avenir Book" w:hAnsi="Avenir Book"/>
        </w:rPr>
        <w:t>Bucks, Chester, and Montgomery counties have some of the widest disparities between prosecution and defense budgets.</w:t>
      </w:r>
    </w:p>
    <w:p w14:paraId="732DBC9C" w14:textId="77777777" w:rsidR="003F1B4B" w:rsidRPr="00DE496D" w:rsidRDefault="003F1B4B" w:rsidP="00FF0935">
      <w:pPr>
        <w:spacing w:line="360" w:lineRule="auto"/>
        <w:ind w:firstLine="720"/>
        <w:jc w:val="both"/>
        <w:rPr>
          <w:rFonts w:ascii="Avenir Book" w:hAnsi="Avenir Book"/>
        </w:rPr>
      </w:pPr>
    </w:p>
    <w:p w14:paraId="42CAB4CE" w14:textId="1EDE1401" w:rsidR="00FF0935" w:rsidRDefault="000E2E79" w:rsidP="00FF0935">
      <w:pPr>
        <w:spacing w:after="120" w:line="360" w:lineRule="auto"/>
        <w:jc w:val="both"/>
      </w:pPr>
      <w:r>
        <w:rPr>
          <w:noProof/>
        </w:rPr>
        <w:pict w14:anchorId="2F9AF69D">
          <v:rect id="_x0000_i1044" alt="" style="width:468pt;height:.05pt;mso-width-percent:0;mso-height-percent:0;mso-width-percent:0;mso-height-percent:0" o:hralign="center" o:hrstd="t" o:hr="t" fillcolor="#a0a0a0" stroked="f"/>
        </w:pict>
      </w:r>
    </w:p>
    <w:tbl>
      <w:tblPr>
        <w:tblStyle w:val="TableGrid"/>
        <w:tblW w:w="0" w:type="auto"/>
        <w:tblLook w:val="04A0" w:firstRow="1" w:lastRow="0" w:firstColumn="1" w:lastColumn="0" w:noHBand="0" w:noVBand="1"/>
      </w:tblPr>
      <w:tblGrid>
        <w:gridCol w:w="1865"/>
        <w:gridCol w:w="1862"/>
        <w:gridCol w:w="1862"/>
        <w:gridCol w:w="1852"/>
        <w:gridCol w:w="1859"/>
      </w:tblGrid>
      <w:tr w:rsidR="00DE496D" w14:paraId="21A9F44E" w14:textId="77777777" w:rsidTr="007F38C9">
        <w:tc>
          <w:tcPr>
            <w:tcW w:w="9350" w:type="dxa"/>
            <w:gridSpan w:val="5"/>
            <w:tcBorders>
              <w:top w:val="single" w:sz="24" w:space="0" w:color="91211B"/>
              <w:left w:val="single" w:sz="24" w:space="0" w:color="91211B"/>
              <w:right w:val="single" w:sz="24" w:space="0" w:color="91211B"/>
            </w:tcBorders>
            <w:shd w:val="clear" w:color="auto" w:fill="91211B"/>
          </w:tcPr>
          <w:p w14:paraId="77A21FC6" w14:textId="1AD75F01" w:rsidR="00DE496D" w:rsidRPr="00FF0935" w:rsidRDefault="00DE496D" w:rsidP="00DE496D">
            <w:pPr>
              <w:spacing w:before="60" w:after="60"/>
              <w:jc w:val="center"/>
              <w:rPr>
                <w:rFonts w:ascii="Avenir Black Oblique" w:hAnsi="Avenir Black Oblique"/>
                <w:b/>
                <w:bCs/>
                <w:i/>
                <w:iCs/>
                <w:sz w:val="30"/>
                <w:szCs w:val="30"/>
                <w:u w:val="single"/>
              </w:rPr>
            </w:pPr>
            <w:r w:rsidRPr="00FF0935">
              <w:rPr>
                <w:rFonts w:ascii="Avenir Black Oblique" w:hAnsi="Avenir Black Oblique"/>
                <w:b/>
                <w:bCs/>
                <w:i/>
                <w:iCs/>
                <w:color w:val="FFFFFF" w:themeColor="background1"/>
                <w:sz w:val="30"/>
                <w:szCs w:val="30"/>
              </w:rPr>
              <w:t xml:space="preserve">Budget Allocations of Surrounding Counties </w:t>
            </w:r>
            <w:r w:rsidRPr="00424C9D">
              <w:rPr>
                <w:rFonts w:ascii="Avenir Black Oblique" w:hAnsi="Avenir Black Oblique"/>
                <w:b/>
                <w:bCs/>
                <w:i/>
                <w:iCs/>
                <w:color w:val="FFFFFF" w:themeColor="background1"/>
                <w:vertAlign w:val="superscript"/>
              </w:rPr>
              <w:endnoteReference w:id="47"/>
            </w:r>
          </w:p>
        </w:tc>
      </w:tr>
      <w:tr w:rsidR="00DE496D" w14:paraId="08F8CD3A" w14:textId="77777777" w:rsidTr="007F38C9">
        <w:tc>
          <w:tcPr>
            <w:tcW w:w="1870" w:type="dxa"/>
            <w:tcBorders>
              <w:top w:val="single" w:sz="24" w:space="0" w:color="91211B"/>
              <w:left w:val="single" w:sz="24" w:space="0" w:color="91211B"/>
              <w:right w:val="single" w:sz="24" w:space="0" w:color="91211B"/>
            </w:tcBorders>
            <w:shd w:val="clear" w:color="auto" w:fill="404040" w:themeFill="text1" w:themeFillTint="BF"/>
          </w:tcPr>
          <w:p w14:paraId="100E141A" w14:textId="4F44F322" w:rsidR="00DE496D" w:rsidRPr="00FF0935" w:rsidRDefault="00FF0935" w:rsidP="00FF0935">
            <w:pPr>
              <w:spacing w:before="100" w:after="100"/>
              <w:jc w:val="center"/>
              <w:rPr>
                <w:rFonts w:ascii="Avenir Heavy Oblique" w:hAnsi="Avenir Heavy Oblique"/>
                <w:b/>
                <w:bCs/>
                <w:i/>
                <w:iCs/>
                <w:color w:val="FFFFFF" w:themeColor="background1"/>
              </w:rPr>
            </w:pPr>
            <w:r w:rsidRPr="00FF0935">
              <w:rPr>
                <w:rFonts w:ascii="Avenir Heavy Oblique" w:hAnsi="Avenir Heavy Oblique"/>
                <w:b/>
                <w:bCs/>
                <w:i/>
                <w:iCs/>
                <w:color w:val="FFFFFF" w:themeColor="background1"/>
              </w:rPr>
              <w:t>County</w:t>
            </w:r>
          </w:p>
        </w:tc>
        <w:tc>
          <w:tcPr>
            <w:tcW w:w="1870" w:type="dxa"/>
            <w:tcBorders>
              <w:top w:val="single" w:sz="24" w:space="0" w:color="91211B"/>
              <w:left w:val="single" w:sz="24" w:space="0" w:color="91211B"/>
            </w:tcBorders>
            <w:shd w:val="clear" w:color="auto" w:fill="404040" w:themeFill="text1" w:themeFillTint="BF"/>
          </w:tcPr>
          <w:p w14:paraId="0725F307" w14:textId="048F4BD8" w:rsidR="00DE496D" w:rsidRPr="00FF0935" w:rsidRDefault="00FF0935" w:rsidP="00FF0935">
            <w:pPr>
              <w:spacing w:before="100" w:after="100"/>
              <w:jc w:val="center"/>
              <w:rPr>
                <w:rFonts w:ascii="Avenir Heavy Oblique" w:hAnsi="Avenir Heavy Oblique"/>
                <w:b/>
                <w:bCs/>
                <w:i/>
                <w:iCs/>
                <w:color w:val="FFFFFF" w:themeColor="background1"/>
              </w:rPr>
            </w:pPr>
            <w:r w:rsidRPr="00FF0935">
              <w:rPr>
                <w:rFonts w:ascii="Avenir Heavy Oblique" w:hAnsi="Avenir Heavy Oblique"/>
                <w:b/>
                <w:bCs/>
                <w:i/>
                <w:iCs/>
                <w:color w:val="FFFFFF" w:themeColor="background1"/>
              </w:rPr>
              <w:t>District Attorney</w:t>
            </w:r>
          </w:p>
        </w:tc>
        <w:tc>
          <w:tcPr>
            <w:tcW w:w="1870" w:type="dxa"/>
            <w:tcBorders>
              <w:top w:val="single" w:sz="24" w:space="0" w:color="91211B"/>
            </w:tcBorders>
            <w:shd w:val="clear" w:color="auto" w:fill="404040" w:themeFill="text1" w:themeFillTint="BF"/>
          </w:tcPr>
          <w:p w14:paraId="55E91541" w14:textId="75BD743E" w:rsidR="00DE496D" w:rsidRPr="00FF0935" w:rsidRDefault="00FF0935" w:rsidP="00FF0935">
            <w:pPr>
              <w:spacing w:before="100" w:after="100"/>
              <w:jc w:val="center"/>
              <w:rPr>
                <w:rFonts w:ascii="Avenir Heavy Oblique" w:hAnsi="Avenir Heavy Oblique"/>
                <w:b/>
                <w:bCs/>
                <w:i/>
                <w:iCs/>
                <w:color w:val="FFFFFF" w:themeColor="background1"/>
              </w:rPr>
            </w:pPr>
            <w:r w:rsidRPr="00FF0935">
              <w:rPr>
                <w:rFonts w:ascii="Avenir Heavy Oblique" w:hAnsi="Avenir Heavy Oblique"/>
                <w:b/>
                <w:bCs/>
                <w:i/>
                <w:iCs/>
                <w:color w:val="FFFFFF" w:themeColor="background1"/>
              </w:rPr>
              <w:t>Public Defense</w:t>
            </w:r>
          </w:p>
        </w:tc>
        <w:tc>
          <w:tcPr>
            <w:tcW w:w="1870" w:type="dxa"/>
            <w:tcBorders>
              <w:top w:val="single" w:sz="24" w:space="0" w:color="91211B"/>
            </w:tcBorders>
            <w:shd w:val="clear" w:color="auto" w:fill="404040" w:themeFill="text1" w:themeFillTint="BF"/>
          </w:tcPr>
          <w:p w14:paraId="69E143EA" w14:textId="618D88C2" w:rsidR="00DE496D" w:rsidRPr="00FF0935" w:rsidRDefault="00FF0935" w:rsidP="00FF0935">
            <w:pPr>
              <w:spacing w:before="100" w:after="100"/>
              <w:jc w:val="center"/>
              <w:rPr>
                <w:rFonts w:ascii="Avenir Heavy Oblique" w:hAnsi="Avenir Heavy Oblique"/>
                <w:b/>
                <w:bCs/>
                <w:i/>
                <w:iCs/>
                <w:color w:val="FFFFFF" w:themeColor="background1"/>
              </w:rPr>
            </w:pPr>
            <w:r w:rsidRPr="00FF0935">
              <w:rPr>
                <w:rFonts w:ascii="Avenir Heavy Oblique" w:hAnsi="Avenir Heavy Oblique"/>
                <w:b/>
                <w:bCs/>
                <w:i/>
                <w:iCs/>
                <w:color w:val="FFFFFF" w:themeColor="background1"/>
              </w:rPr>
              <w:t xml:space="preserve">Ratio of PD to DA Funding </w:t>
            </w:r>
            <w:r w:rsidRPr="00FF0935">
              <w:rPr>
                <w:rStyle w:val="EndnoteReference"/>
                <w:rFonts w:ascii="Avenir Heavy Oblique" w:hAnsi="Avenir Heavy Oblique"/>
                <w:b/>
                <w:bCs/>
                <w:i/>
                <w:iCs/>
                <w:color w:val="FFFFFF" w:themeColor="background1"/>
              </w:rPr>
              <w:endnoteReference w:id="48"/>
            </w:r>
          </w:p>
        </w:tc>
        <w:tc>
          <w:tcPr>
            <w:tcW w:w="1870" w:type="dxa"/>
            <w:tcBorders>
              <w:top w:val="single" w:sz="24" w:space="0" w:color="91211B"/>
              <w:right w:val="single" w:sz="24" w:space="0" w:color="91211B"/>
            </w:tcBorders>
            <w:shd w:val="clear" w:color="auto" w:fill="404040" w:themeFill="text1" w:themeFillTint="BF"/>
          </w:tcPr>
          <w:p w14:paraId="01F75808" w14:textId="77B09B78" w:rsidR="00DE496D" w:rsidRPr="00FF0935" w:rsidRDefault="00FF0935" w:rsidP="00FF0935">
            <w:pPr>
              <w:spacing w:before="100" w:after="100"/>
              <w:jc w:val="center"/>
              <w:rPr>
                <w:rFonts w:ascii="Avenir Heavy Oblique" w:hAnsi="Avenir Heavy Oblique"/>
                <w:b/>
                <w:bCs/>
                <w:i/>
                <w:iCs/>
                <w:color w:val="FFFFFF" w:themeColor="background1"/>
              </w:rPr>
            </w:pPr>
            <w:r w:rsidRPr="00FF0935">
              <w:rPr>
                <w:rFonts w:ascii="Avenir Heavy Oblique" w:hAnsi="Avenir Heavy Oblique"/>
                <w:b/>
                <w:bCs/>
                <w:i/>
                <w:iCs/>
                <w:color w:val="FFFFFF" w:themeColor="background1"/>
              </w:rPr>
              <w:t>Population</w:t>
            </w:r>
          </w:p>
        </w:tc>
      </w:tr>
      <w:tr w:rsidR="00FF0935" w14:paraId="68FC09BA" w14:textId="77777777" w:rsidTr="007F38C9">
        <w:tc>
          <w:tcPr>
            <w:tcW w:w="1870" w:type="dxa"/>
            <w:tcBorders>
              <w:left w:val="single" w:sz="24" w:space="0" w:color="91211B"/>
              <w:right w:val="single" w:sz="24" w:space="0" w:color="91211B"/>
            </w:tcBorders>
            <w:shd w:val="clear" w:color="auto" w:fill="404040" w:themeFill="text1" w:themeFillTint="BF"/>
          </w:tcPr>
          <w:p w14:paraId="4BE5E4E4" w14:textId="6BA62056" w:rsidR="00FF0935" w:rsidRPr="00FF0935" w:rsidRDefault="00FF0935" w:rsidP="00FF0935">
            <w:pPr>
              <w:spacing w:before="100" w:after="100"/>
              <w:jc w:val="center"/>
              <w:rPr>
                <w:rFonts w:ascii="Avenir Heavy" w:hAnsi="Avenir Heavy"/>
                <w:b/>
                <w:bCs/>
                <w:color w:val="FFFFFF" w:themeColor="background1"/>
              </w:rPr>
            </w:pPr>
            <w:r w:rsidRPr="00FF0935">
              <w:rPr>
                <w:rFonts w:ascii="Avenir Heavy" w:hAnsi="Avenir Heavy"/>
                <w:b/>
                <w:bCs/>
                <w:color w:val="FFFFFF" w:themeColor="background1"/>
              </w:rPr>
              <w:t>Allegheny</w:t>
            </w:r>
          </w:p>
        </w:tc>
        <w:tc>
          <w:tcPr>
            <w:tcW w:w="1870" w:type="dxa"/>
            <w:tcBorders>
              <w:left w:val="single" w:sz="24" w:space="0" w:color="91211B"/>
            </w:tcBorders>
          </w:tcPr>
          <w:p w14:paraId="4D8ADFDA" w14:textId="3ADB773A" w:rsidR="00FF0935" w:rsidRPr="00FF0935" w:rsidRDefault="00FF0935" w:rsidP="00FF0935">
            <w:pPr>
              <w:spacing w:before="100" w:after="100"/>
              <w:jc w:val="center"/>
              <w:rPr>
                <w:rFonts w:ascii="Avenir Book" w:hAnsi="Avenir Book"/>
              </w:rPr>
            </w:pPr>
            <w:r w:rsidRPr="00FF0935">
              <w:rPr>
                <w:rFonts w:ascii="Avenir Book" w:hAnsi="Avenir Book"/>
              </w:rPr>
              <w:t>$20,358,719</w:t>
            </w:r>
          </w:p>
        </w:tc>
        <w:tc>
          <w:tcPr>
            <w:tcW w:w="1870" w:type="dxa"/>
          </w:tcPr>
          <w:p w14:paraId="63BA815D" w14:textId="166D6A48" w:rsidR="00FF0935" w:rsidRPr="00FF0935" w:rsidRDefault="00FF0935" w:rsidP="00FF0935">
            <w:pPr>
              <w:spacing w:before="100" w:after="100"/>
              <w:jc w:val="center"/>
              <w:rPr>
                <w:rFonts w:ascii="Avenir Book" w:hAnsi="Avenir Book"/>
              </w:rPr>
            </w:pPr>
            <w:r w:rsidRPr="00FF0935">
              <w:rPr>
                <w:rFonts w:ascii="Avenir Book" w:hAnsi="Avenir Book"/>
              </w:rPr>
              <w:t>$10,527,967</w:t>
            </w:r>
          </w:p>
        </w:tc>
        <w:tc>
          <w:tcPr>
            <w:tcW w:w="1870" w:type="dxa"/>
          </w:tcPr>
          <w:p w14:paraId="0501BE75" w14:textId="34F75DC0" w:rsidR="00FF0935" w:rsidRPr="00FF0935" w:rsidRDefault="00FF0935" w:rsidP="00FF0935">
            <w:pPr>
              <w:spacing w:before="100" w:after="100"/>
              <w:jc w:val="center"/>
              <w:rPr>
                <w:rFonts w:ascii="Avenir Book" w:hAnsi="Avenir Book"/>
              </w:rPr>
            </w:pPr>
            <w:r w:rsidRPr="00FF0935">
              <w:rPr>
                <w:rFonts w:ascii="Avenir Book" w:hAnsi="Avenir Book"/>
              </w:rPr>
              <w:t>2:1</w:t>
            </w:r>
          </w:p>
        </w:tc>
        <w:tc>
          <w:tcPr>
            <w:tcW w:w="1870" w:type="dxa"/>
            <w:tcBorders>
              <w:right w:val="single" w:sz="24" w:space="0" w:color="91211B"/>
            </w:tcBorders>
          </w:tcPr>
          <w:p w14:paraId="2EF430AC" w14:textId="1BF475A2" w:rsidR="00FF0935" w:rsidRPr="00FF0935" w:rsidRDefault="00FF0935" w:rsidP="00FF0935">
            <w:pPr>
              <w:spacing w:before="100" w:after="100"/>
              <w:jc w:val="center"/>
              <w:rPr>
                <w:rFonts w:ascii="Avenir Book" w:hAnsi="Avenir Book"/>
              </w:rPr>
            </w:pPr>
            <w:r w:rsidRPr="00FF0935">
              <w:rPr>
                <w:rFonts w:ascii="Avenir Book" w:hAnsi="Avenir Book"/>
              </w:rPr>
              <w:t>1,216,045</w:t>
            </w:r>
          </w:p>
        </w:tc>
      </w:tr>
      <w:tr w:rsidR="00FF0935" w14:paraId="09B102EA" w14:textId="77777777" w:rsidTr="007F38C9">
        <w:tc>
          <w:tcPr>
            <w:tcW w:w="1870" w:type="dxa"/>
            <w:tcBorders>
              <w:left w:val="single" w:sz="24" w:space="0" w:color="91211B"/>
              <w:right w:val="single" w:sz="24" w:space="0" w:color="91211B"/>
            </w:tcBorders>
            <w:shd w:val="clear" w:color="auto" w:fill="404040" w:themeFill="text1" w:themeFillTint="BF"/>
          </w:tcPr>
          <w:p w14:paraId="280E1D35" w14:textId="48510E23" w:rsidR="00FF0935" w:rsidRPr="00FF0935" w:rsidRDefault="00FF0935" w:rsidP="00FF0935">
            <w:pPr>
              <w:spacing w:before="100" w:after="100"/>
              <w:jc w:val="center"/>
              <w:rPr>
                <w:rFonts w:ascii="Avenir Heavy" w:hAnsi="Avenir Heavy"/>
                <w:b/>
                <w:bCs/>
                <w:color w:val="FFFFFF" w:themeColor="background1"/>
              </w:rPr>
            </w:pPr>
            <w:r w:rsidRPr="00FF0935">
              <w:rPr>
                <w:rFonts w:ascii="Avenir Heavy" w:hAnsi="Avenir Heavy"/>
                <w:b/>
                <w:bCs/>
                <w:color w:val="FFFFFF" w:themeColor="background1"/>
              </w:rPr>
              <w:t>Bucks</w:t>
            </w:r>
          </w:p>
        </w:tc>
        <w:tc>
          <w:tcPr>
            <w:tcW w:w="1870" w:type="dxa"/>
            <w:tcBorders>
              <w:left w:val="single" w:sz="24" w:space="0" w:color="91211B"/>
            </w:tcBorders>
          </w:tcPr>
          <w:p w14:paraId="40833EAA" w14:textId="0398136C" w:rsidR="00FF0935" w:rsidRPr="00FF0935" w:rsidRDefault="00FF0935" w:rsidP="00FF0935">
            <w:pPr>
              <w:spacing w:before="100" w:after="100"/>
              <w:jc w:val="center"/>
              <w:rPr>
                <w:rFonts w:ascii="Avenir Book" w:hAnsi="Avenir Book"/>
              </w:rPr>
            </w:pPr>
            <w:r w:rsidRPr="00FF0935">
              <w:rPr>
                <w:rFonts w:ascii="Avenir Book" w:hAnsi="Avenir Book"/>
              </w:rPr>
              <w:t>$13,042,500</w:t>
            </w:r>
          </w:p>
        </w:tc>
        <w:tc>
          <w:tcPr>
            <w:tcW w:w="1870" w:type="dxa"/>
          </w:tcPr>
          <w:p w14:paraId="0607D362" w14:textId="79C4F1C3" w:rsidR="00FF0935" w:rsidRPr="00FF0935" w:rsidRDefault="00FF0935" w:rsidP="00FF0935">
            <w:pPr>
              <w:spacing w:before="100" w:after="100"/>
              <w:jc w:val="center"/>
              <w:rPr>
                <w:rFonts w:ascii="Avenir Book" w:hAnsi="Avenir Book"/>
              </w:rPr>
            </w:pPr>
            <w:r w:rsidRPr="00FF0935">
              <w:rPr>
                <w:rFonts w:ascii="Avenir Book" w:hAnsi="Avenir Book"/>
              </w:rPr>
              <w:t>$4,470,000</w:t>
            </w:r>
          </w:p>
        </w:tc>
        <w:tc>
          <w:tcPr>
            <w:tcW w:w="1870" w:type="dxa"/>
          </w:tcPr>
          <w:p w14:paraId="7544FEFC" w14:textId="0438F0C4" w:rsidR="00FF0935" w:rsidRPr="00FF0935" w:rsidRDefault="00FF0935" w:rsidP="00FF0935">
            <w:pPr>
              <w:spacing w:before="100" w:after="100"/>
              <w:jc w:val="center"/>
              <w:rPr>
                <w:rFonts w:ascii="Avenir Book" w:hAnsi="Avenir Book"/>
              </w:rPr>
            </w:pPr>
            <w:r w:rsidRPr="00FF0935">
              <w:rPr>
                <w:rFonts w:ascii="Avenir Book" w:hAnsi="Avenir Book"/>
              </w:rPr>
              <w:t>3:1</w:t>
            </w:r>
          </w:p>
        </w:tc>
        <w:tc>
          <w:tcPr>
            <w:tcW w:w="1870" w:type="dxa"/>
            <w:tcBorders>
              <w:right w:val="single" w:sz="24" w:space="0" w:color="91211B"/>
            </w:tcBorders>
          </w:tcPr>
          <w:p w14:paraId="72F70613" w14:textId="2A70107C" w:rsidR="00FF0935" w:rsidRPr="00FF0935" w:rsidRDefault="00FF0935" w:rsidP="00FF0935">
            <w:pPr>
              <w:spacing w:before="100" w:after="100"/>
              <w:jc w:val="center"/>
              <w:rPr>
                <w:rFonts w:ascii="Avenir Book" w:hAnsi="Avenir Book"/>
              </w:rPr>
            </w:pPr>
            <w:r w:rsidRPr="00FF0935">
              <w:rPr>
                <w:rFonts w:ascii="Avenir Book" w:hAnsi="Avenir Book"/>
              </w:rPr>
              <w:t>628,270</w:t>
            </w:r>
          </w:p>
        </w:tc>
      </w:tr>
      <w:tr w:rsidR="00FF0935" w14:paraId="04C5E425" w14:textId="77777777" w:rsidTr="007F38C9">
        <w:tc>
          <w:tcPr>
            <w:tcW w:w="1870" w:type="dxa"/>
            <w:tcBorders>
              <w:left w:val="single" w:sz="24" w:space="0" w:color="91211B"/>
              <w:right w:val="single" w:sz="24" w:space="0" w:color="91211B"/>
            </w:tcBorders>
            <w:shd w:val="clear" w:color="auto" w:fill="404040" w:themeFill="text1" w:themeFillTint="BF"/>
          </w:tcPr>
          <w:p w14:paraId="66C96FCC" w14:textId="4D0A04F2" w:rsidR="00FF0935" w:rsidRPr="00FF0935" w:rsidRDefault="00FF0935" w:rsidP="00FF0935">
            <w:pPr>
              <w:spacing w:before="100" w:after="100"/>
              <w:jc w:val="center"/>
              <w:rPr>
                <w:rFonts w:ascii="Avenir Heavy" w:hAnsi="Avenir Heavy"/>
                <w:b/>
                <w:bCs/>
                <w:color w:val="FFFFFF" w:themeColor="background1"/>
              </w:rPr>
            </w:pPr>
            <w:r w:rsidRPr="00FF0935">
              <w:rPr>
                <w:rFonts w:ascii="Avenir Heavy" w:hAnsi="Avenir Heavy"/>
                <w:b/>
                <w:bCs/>
                <w:color w:val="FFFFFF" w:themeColor="background1"/>
              </w:rPr>
              <w:t>Chester</w:t>
            </w:r>
          </w:p>
        </w:tc>
        <w:tc>
          <w:tcPr>
            <w:tcW w:w="1870" w:type="dxa"/>
            <w:tcBorders>
              <w:left w:val="single" w:sz="24" w:space="0" w:color="91211B"/>
            </w:tcBorders>
          </w:tcPr>
          <w:p w14:paraId="58D2C611" w14:textId="7C2DCE47" w:rsidR="00FF0935" w:rsidRPr="00FF0935" w:rsidRDefault="00FF0935" w:rsidP="00FF0935">
            <w:pPr>
              <w:spacing w:before="100" w:after="100"/>
              <w:jc w:val="center"/>
              <w:rPr>
                <w:rFonts w:ascii="Avenir Book" w:hAnsi="Avenir Book"/>
              </w:rPr>
            </w:pPr>
            <w:r w:rsidRPr="00FF0935">
              <w:rPr>
                <w:rFonts w:ascii="Avenir Book" w:hAnsi="Avenir Book"/>
              </w:rPr>
              <w:t>$11,509,783</w:t>
            </w:r>
          </w:p>
        </w:tc>
        <w:tc>
          <w:tcPr>
            <w:tcW w:w="1870" w:type="dxa"/>
          </w:tcPr>
          <w:p w14:paraId="290555AA" w14:textId="1B6A569A" w:rsidR="00FF0935" w:rsidRPr="00FF0935" w:rsidRDefault="00FF0935" w:rsidP="00FF0935">
            <w:pPr>
              <w:spacing w:before="100" w:after="100"/>
              <w:jc w:val="center"/>
              <w:rPr>
                <w:rFonts w:ascii="Avenir Book" w:hAnsi="Avenir Book"/>
              </w:rPr>
            </w:pPr>
            <w:r w:rsidRPr="00FF0935">
              <w:rPr>
                <w:rFonts w:ascii="Avenir Book" w:hAnsi="Avenir Book"/>
              </w:rPr>
              <w:t>$4,130,386</w:t>
            </w:r>
          </w:p>
        </w:tc>
        <w:tc>
          <w:tcPr>
            <w:tcW w:w="1870" w:type="dxa"/>
          </w:tcPr>
          <w:p w14:paraId="4CB42C48" w14:textId="17793DE3" w:rsidR="00FF0935" w:rsidRPr="00FF0935" w:rsidRDefault="00FF0935" w:rsidP="00FF0935">
            <w:pPr>
              <w:spacing w:before="100" w:after="100"/>
              <w:jc w:val="center"/>
              <w:rPr>
                <w:rFonts w:ascii="Avenir Book" w:hAnsi="Avenir Book"/>
              </w:rPr>
            </w:pPr>
            <w:r w:rsidRPr="00FF0935">
              <w:rPr>
                <w:rFonts w:ascii="Avenir Book" w:hAnsi="Avenir Book"/>
              </w:rPr>
              <w:t>3:1</w:t>
            </w:r>
          </w:p>
        </w:tc>
        <w:tc>
          <w:tcPr>
            <w:tcW w:w="1870" w:type="dxa"/>
            <w:tcBorders>
              <w:right w:val="single" w:sz="24" w:space="0" w:color="91211B"/>
            </w:tcBorders>
          </w:tcPr>
          <w:p w14:paraId="3713919C" w14:textId="28351D05" w:rsidR="00FF0935" w:rsidRPr="00FF0935" w:rsidRDefault="00FF0935" w:rsidP="00FF0935">
            <w:pPr>
              <w:spacing w:before="100" w:after="100"/>
              <w:jc w:val="center"/>
              <w:rPr>
                <w:rFonts w:ascii="Avenir Book" w:hAnsi="Avenir Book"/>
              </w:rPr>
            </w:pPr>
            <w:r w:rsidRPr="00FF0935">
              <w:rPr>
                <w:rFonts w:ascii="Avenir Book" w:hAnsi="Avenir Book"/>
              </w:rPr>
              <w:t>524,989</w:t>
            </w:r>
          </w:p>
        </w:tc>
      </w:tr>
      <w:tr w:rsidR="00FF0935" w14:paraId="77B00CE7" w14:textId="77777777" w:rsidTr="007F38C9">
        <w:tc>
          <w:tcPr>
            <w:tcW w:w="1870" w:type="dxa"/>
            <w:tcBorders>
              <w:left w:val="single" w:sz="24" w:space="0" w:color="91211B"/>
              <w:right w:val="single" w:sz="24" w:space="0" w:color="91211B"/>
            </w:tcBorders>
            <w:shd w:val="clear" w:color="auto" w:fill="404040" w:themeFill="text1" w:themeFillTint="BF"/>
          </w:tcPr>
          <w:p w14:paraId="36CE0415" w14:textId="4CCBF87F" w:rsidR="00FF0935" w:rsidRPr="00FF0935" w:rsidRDefault="00FF0935" w:rsidP="00FF0935">
            <w:pPr>
              <w:spacing w:before="100" w:after="100"/>
              <w:jc w:val="center"/>
              <w:rPr>
                <w:rFonts w:ascii="Avenir Heavy" w:hAnsi="Avenir Heavy"/>
                <w:b/>
                <w:bCs/>
                <w:color w:val="FFFFFF" w:themeColor="background1"/>
              </w:rPr>
            </w:pPr>
            <w:r w:rsidRPr="00FF0935">
              <w:rPr>
                <w:rFonts w:ascii="Avenir Heavy" w:hAnsi="Avenir Heavy"/>
                <w:b/>
                <w:bCs/>
                <w:color w:val="FFFFFF" w:themeColor="background1"/>
              </w:rPr>
              <w:t>Dauphin</w:t>
            </w:r>
          </w:p>
        </w:tc>
        <w:tc>
          <w:tcPr>
            <w:tcW w:w="1870" w:type="dxa"/>
            <w:tcBorders>
              <w:left w:val="single" w:sz="24" w:space="0" w:color="91211B"/>
            </w:tcBorders>
          </w:tcPr>
          <w:p w14:paraId="187F6CA7" w14:textId="044F74E7" w:rsidR="00FF0935" w:rsidRPr="00FF0935" w:rsidRDefault="00FF0935" w:rsidP="00FF0935">
            <w:pPr>
              <w:spacing w:before="100" w:after="100"/>
              <w:jc w:val="center"/>
              <w:rPr>
                <w:rFonts w:ascii="Avenir Book" w:hAnsi="Avenir Book"/>
              </w:rPr>
            </w:pPr>
            <w:r w:rsidRPr="00FF0935">
              <w:rPr>
                <w:rFonts w:ascii="Avenir Book" w:hAnsi="Avenir Book"/>
              </w:rPr>
              <w:t>$5,987,514</w:t>
            </w:r>
          </w:p>
        </w:tc>
        <w:tc>
          <w:tcPr>
            <w:tcW w:w="1870" w:type="dxa"/>
          </w:tcPr>
          <w:p w14:paraId="6B780008" w14:textId="0C1F0021" w:rsidR="00FF0935" w:rsidRPr="00FF0935" w:rsidRDefault="00FF0935" w:rsidP="00FF0935">
            <w:pPr>
              <w:spacing w:before="100" w:after="100"/>
              <w:jc w:val="center"/>
              <w:rPr>
                <w:rFonts w:ascii="Avenir Book" w:hAnsi="Avenir Book"/>
              </w:rPr>
            </w:pPr>
            <w:r w:rsidRPr="00FF0935">
              <w:rPr>
                <w:rFonts w:ascii="Avenir Book" w:hAnsi="Avenir Book"/>
              </w:rPr>
              <w:t>$4,398,875</w:t>
            </w:r>
          </w:p>
        </w:tc>
        <w:tc>
          <w:tcPr>
            <w:tcW w:w="1870" w:type="dxa"/>
          </w:tcPr>
          <w:p w14:paraId="75A62A0A" w14:textId="2147E729" w:rsidR="00FF0935" w:rsidRPr="00FF0935" w:rsidRDefault="00FF0935" w:rsidP="00FF0935">
            <w:pPr>
              <w:spacing w:before="100" w:after="100"/>
              <w:jc w:val="center"/>
              <w:rPr>
                <w:rFonts w:ascii="Avenir Book" w:hAnsi="Avenir Book"/>
              </w:rPr>
            </w:pPr>
            <w:r w:rsidRPr="00FF0935">
              <w:rPr>
                <w:rFonts w:ascii="Avenir Book" w:hAnsi="Avenir Book"/>
              </w:rPr>
              <w:t>1.5:1</w:t>
            </w:r>
          </w:p>
        </w:tc>
        <w:tc>
          <w:tcPr>
            <w:tcW w:w="1870" w:type="dxa"/>
            <w:tcBorders>
              <w:right w:val="single" w:sz="24" w:space="0" w:color="91211B"/>
            </w:tcBorders>
          </w:tcPr>
          <w:p w14:paraId="02A7BAA5" w14:textId="18A71698" w:rsidR="00FF0935" w:rsidRPr="00FF0935" w:rsidRDefault="00FF0935" w:rsidP="00FF0935">
            <w:pPr>
              <w:spacing w:before="100" w:after="100"/>
              <w:jc w:val="center"/>
              <w:rPr>
                <w:rFonts w:ascii="Avenir Book" w:hAnsi="Avenir Book"/>
              </w:rPr>
            </w:pPr>
            <w:r w:rsidRPr="00FF0935">
              <w:rPr>
                <w:rFonts w:ascii="Avenir Book" w:hAnsi="Avenir Book"/>
              </w:rPr>
              <w:t>278,299</w:t>
            </w:r>
          </w:p>
        </w:tc>
      </w:tr>
      <w:tr w:rsidR="00FF0935" w14:paraId="563B2326" w14:textId="77777777" w:rsidTr="007F38C9">
        <w:tc>
          <w:tcPr>
            <w:tcW w:w="1870" w:type="dxa"/>
            <w:tcBorders>
              <w:left w:val="single" w:sz="24" w:space="0" w:color="91211B"/>
              <w:right w:val="single" w:sz="24" w:space="0" w:color="91211B"/>
            </w:tcBorders>
            <w:shd w:val="clear" w:color="auto" w:fill="404040" w:themeFill="text1" w:themeFillTint="BF"/>
          </w:tcPr>
          <w:p w14:paraId="37EBE644" w14:textId="13DC47C8" w:rsidR="00FF0935" w:rsidRPr="00FF0935" w:rsidRDefault="00FF0935" w:rsidP="00FF0935">
            <w:pPr>
              <w:spacing w:before="100" w:after="100"/>
              <w:jc w:val="center"/>
              <w:rPr>
                <w:rFonts w:ascii="Avenir Heavy" w:hAnsi="Avenir Heavy"/>
                <w:b/>
                <w:bCs/>
                <w:color w:val="FFFFFF" w:themeColor="background1"/>
              </w:rPr>
            </w:pPr>
            <w:r w:rsidRPr="00FF0935">
              <w:rPr>
                <w:rFonts w:ascii="Avenir Heavy" w:hAnsi="Avenir Heavy"/>
                <w:b/>
                <w:bCs/>
                <w:color w:val="FFFFFF" w:themeColor="background1"/>
              </w:rPr>
              <w:t>Delaware</w:t>
            </w:r>
          </w:p>
        </w:tc>
        <w:tc>
          <w:tcPr>
            <w:tcW w:w="1870" w:type="dxa"/>
            <w:tcBorders>
              <w:left w:val="single" w:sz="24" w:space="0" w:color="91211B"/>
            </w:tcBorders>
          </w:tcPr>
          <w:p w14:paraId="6FEDA248" w14:textId="7744862D" w:rsidR="00FF0935" w:rsidRPr="00FF0935" w:rsidRDefault="00FF0935" w:rsidP="00FF0935">
            <w:pPr>
              <w:spacing w:before="100" w:after="100"/>
              <w:jc w:val="center"/>
              <w:rPr>
                <w:rFonts w:ascii="Avenir Book" w:hAnsi="Avenir Book"/>
              </w:rPr>
            </w:pPr>
            <w:r w:rsidRPr="00FF0935">
              <w:rPr>
                <w:rFonts w:ascii="Avenir Book" w:hAnsi="Avenir Book"/>
              </w:rPr>
              <w:t>$6,363,000</w:t>
            </w:r>
          </w:p>
        </w:tc>
        <w:tc>
          <w:tcPr>
            <w:tcW w:w="1870" w:type="dxa"/>
          </w:tcPr>
          <w:p w14:paraId="0A778D5C" w14:textId="1C54A8B0" w:rsidR="00FF0935" w:rsidRPr="00FF0935" w:rsidRDefault="00FF0935" w:rsidP="00FF0935">
            <w:pPr>
              <w:spacing w:before="100" w:after="100"/>
              <w:jc w:val="center"/>
              <w:rPr>
                <w:rFonts w:ascii="Avenir Book" w:hAnsi="Avenir Book"/>
              </w:rPr>
            </w:pPr>
            <w:r w:rsidRPr="00FF0935">
              <w:rPr>
                <w:rFonts w:ascii="Avenir Book" w:hAnsi="Avenir Book"/>
              </w:rPr>
              <w:t>$4,615,000</w:t>
            </w:r>
          </w:p>
        </w:tc>
        <w:tc>
          <w:tcPr>
            <w:tcW w:w="1870" w:type="dxa"/>
          </w:tcPr>
          <w:p w14:paraId="2776B6CC" w14:textId="5E7BE47D" w:rsidR="00FF0935" w:rsidRPr="00FF0935" w:rsidRDefault="00FF0935" w:rsidP="00FF0935">
            <w:pPr>
              <w:spacing w:before="100" w:after="100"/>
              <w:jc w:val="center"/>
              <w:rPr>
                <w:rFonts w:ascii="Avenir Book" w:hAnsi="Avenir Book"/>
              </w:rPr>
            </w:pPr>
            <w:r w:rsidRPr="00FF0935">
              <w:rPr>
                <w:rFonts w:ascii="Avenir Book" w:hAnsi="Avenir Book"/>
              </w:rPr>
              <w:t>1.5:1</w:t>
            </w:r>
          </w:p>
        </w:tc>
        <w:tc>
          <w:tcPr>
            <w:tcW w:w="1870" w:type="dxa"/>
            <w:tcBorders>
              <w:right w:val="single" w:sz="24" w:space="0" w:color="91211B"/>
            </w:tcBorders>
          </w:tcPr>
          <w:p w14:paraId="104F88AE" w14:textId="5D1A8D86" w:rsidR="00FF0935" w:rsidRPr="00FF0935" w:rsidRDefault="00FF0935" w:rsidP="00FF0935">
            <w:pPr>
              <w:spacing w:before="100" w:after="100"/>
              <w:jc w:val="center"/>
              <w:rPr>
                <w:rFonts w:ascii="Avenir Book" w:hAnsi="Avenir Book"/>
              </w:rPr>
            </w:pPr>
            <w:r w:rsidRPr="00FF0935">
              <w:rPr>
                <w:rFonts w:ascii="Avenir Book" w:hAnsi="Avenir Book"/>
              </w:rPr>
              <w:t>566,747</w:t>
            </w:r>
          </w:p>
        </w:tc>
      </w:tr>
      <w:tr w:rsidR="00FF0935" w14:paraId="247E0B26" w14:textId="77777777" w:rsidTr="007F38C9">
        <w:tc>
          <w:tcPr>
            <w:tcW w:w="1870" w:type="dxa"/>
            <w:tcBorders>
              <w:left w:val="single" w:sz="24" w:space="0" w:color="91211B"/>
              <w:right w:val="single" w:sz="24" w:space="0" w:color="91211B"/>
            </w:tcBorders>
            <w:shd w:val="clear" w:color="auto" w:fill="404040" w:themeFill="text1" w:themeFillTint="BF"/>
          </w:tcPr>
          <w:p w14:paraId="35C03B87" w14:textId="2BE6697A" w:rsidR="00FF0935" w:rsidRPr="00FF0935" w:rsidRDefault="00FF0935" w:rsidP="00FF0935">
            <w:pPr>
              <w:spacing w:before="100" w:after="100"/>
              <w:jc w:val="center"/>
              <w:rPr>
                <w:rFonts w:ascii="Avenir Heavy" w:hAnsi="Avenir Heavy"/>
                <w:b/>
                <w:bCs/>
                <w:color w:val="FFFFFF" w:themeColor="background1"/>
              </w:rPr>
            </w:pPr>
            <w:r w:rsidRPr="00FF0935">
              <w:rPr>
                <w:rFonts w:ascii="Avenir Heavy" w:hAnsi="Avenir Heavy"/>
                <w:b/>
                <w:bCs/>
                <w:color w:val="FFFFFF" w:themeColor="background1"/>
              </w:rPr>
              <w:t>Lehigh</w:t>
            </w:r>
          </w:p>
        </w:tc>
        <w:tc>
          <w:tcPr>
            <w:tcW w:w="1870" w:type="dxa"/>
            <w:tcBorders>
              <w:left w:val="single" w:sz="24" w:space="0" w:color="91211B"/>
            </w:tcBorders>
          </w:tcPr>
          <w:p w14:paraId="2AB871E7" w14:textId="1ADC5866" w:rsidR="00FF0935" w:rsidRPr="00FF0935" w:rsidRDefault="00FF0935" w:rsidP="00FF0935">
            <w:pPr>
              <w:spacing w:before="100" w:after="100"/>
              <w:jc w:val="center"/>
              <w:rPr>
                <w:rFonts w:ascii="Avenir Book" w:hAnsi="Avenir Book"/>
              </w:rPr>
            </w:pPr>
            <w:r w:rsidRPr="00FF0935">
              <w:rPr>
                <w:rFonts w:ascii="Avenir Book" w:hAnsi="Avenir Book"/>
              </w:rPr>
              <w:t>$6,751,094</w:t>
            </w:r>
          </w:p>
        </w:tc>
        <w:tc>
          <w:tcPr>
            <w:tcW w:w="1870" w:type="dxa"/>
          </w:tcPr>
          <w:p w14:paraId="00F665D1" w14:textId="76D83257" w:rsidR="00FF0935" w:rsidRPr="00FF0935" w:rsidRDefault="00FF0935" w:rsidP="00FF0935">
            <w:pPr>
              <w:spacing w:before="100" w:after="100"/>
              <w:jc w:val="center"/>
              <w:rPr>
                <w:rFonts w:ascii="Avenir Book" w:hAnsi="Avenir Book"/>
              </w:rPr>
            </w:pPr>
            <w:r w:rsidRPr="00FF0935">
              <w:rPr>
                <w:rFonts w:ascii="Avenir Book" w:hAnsi="Avenir Book"/>
              </w:rPr>
              <w:t>$2,901,169</w:t>
            </w:r>
          </w:p>
        </w:tc>
        <w:tc>
          <w:tcPr>
            <w:tcW w:w="1870" w:type="dxa"/>
          </w:tcPr>
          <w:p w14:paraId="07ACAD90" w14:textId="51F96C05" w:rsidR="00FF0935" w:rsidRPr="00FF0935" w:rsidRDefault="00FF0935" w:rsidP="00FF0935">
            <w:pPr>
              <w:spacing w:before="100" w:after="100"/>
              <w:jc w:val="center"/>
              <w:rPr>
                <w:rFonts w:ascii="Avenir Book" w:hAnsi="Avenir Book"/>
              </w:rPr>
            </w:pPr>
            <w:r w:rsidRPr="00FF0935">
              <w:rPr>
                <w:rFonts w:ascii="Avenir Book" w:hAnsi="Avenir Book"/>
              </w:rPr>
              <w:t>2.5:1</w:t>
            </w:r>
          </w:p>
        </w:tc>
        <w:tc>
          <w:tcPr>
            <w:tcW w:w="1870" w:type="dxa"/>
            <w:tcBorders>
              <w:right w:val="single" w:sz="24" w:space="0" w:color="91211B"/>
            </w:tcBorders>
          </w:tcPr>
          <w:p w14:paraId="068B2E5B" w14:textId="5EB43262" w:rsidR="00FF0935" w:rsidRPr="00FF0935" w:rsidRDefault="00FF0935" w:rsidP="00FF0935">
            <w:pPr>
              <w:spacing w:before="100" w:after="100"/>
              <w:jc w:val="center"/>
              <w:rPr>
                <w:rFonts w:ascii="Avenir Book" w:hAnsi="Avenir Book"/>
              </w:rPr>
            </w:pPr>
            <w:r w:rsidRPr="00FF0935">
              <w:rPr>
                <w:rFonts w:ascii="Avenir Book" w:hAnsi="Avenir Book"/>
              </w:rPr>
              <w:t>369,318</w:t>
            </w:r>
          </w:p>
        </w:tc>
      </w:tr>
      <w:tr w:rsidR="00FF0935" w14:paraId="70801EB3" w14:textId="77777777" w:rsidTr="007F38C9">
        <w:tc>
          <w:tcPr>
            <w:tcW w:w="1870" w:type="dxa"/>
            <w:tcBorders>
              <w:left w:val="single" w:sz="24" w:space="0" w:color="91211B"/>
              <w:right w:val="single" w:sz="24" w:space="0" w:color="91211B"/>
            </w:tcBorders>
            <w:shd w:val="clear" w:color="auto" w:fill="404040" w:themeFill="text1" w:themeFillTint="BF"/>
          </w:tcPr>
          <w:p w14:paraId="127E87D6" w14:textId="7D089317" w:rsidR="00FF0935" w:rsidRPr="00FF0935" w:rsidRDefault="00FF0935" w:rsidP="00FF0935">
            <w:pPr>
              <w:spacing w:before="100" w:after="100"/>
              <w:jc w:val="center"/>
              <w:rPr>
                <w:rFonts w:ascii="Avenir Heavy" w:hAnsi="Avenir Heavy"/>
                <w:b/>
                <w:bCs/>
                <w:color w:val="FFFFFF" w:themeColor="background1"/>
              </w:rPr>
            </w:pPr>
            <w:r w:rsidRPr="00FF0935">
              <w:rPr>
                <w:rFonts w:ascii="Avenir Heavy" w:hAnsi="Avenir Heavy"/>
                <w:b/>
                <w:bCs/>
                <w:color w:val="FFFFFF" w:themeColor="background1"/>
              </w:rPr>
              <w:t>Montgomery</w:t>
            </w:r>
          </w:p>
        </w:tc>
        <w:tc>
          <w:tcPr>
            <w:tcW w:w="1870" w:type="dxa"/>
            <w:tcBorders>
              <w:left w:val="single" w:sz="24" w:space="0" w:color="91211B"/>
            </w:tcBorders>
          </w:tcPr>
          <w:p w14:paraId="1B2DE277" w14:textId="1237F1D6" w:rsidR="00FF0935" w:rsidRPr="00FF0935" w:rsidRDefault="00FF0935" w:rsidP="00FF0935">
            <w:pPr>
              <w:spacing w:before="100" w:after="100"/>
              <w:jc w:val="center"/>
              <w:rPr>
                <w:rFonts w:ascii="Avenir Book" w:hAnsi="Avenir Book"/>
              </w:rPr>
            </w:pPr>
            <w:r w:rsidRPr="00FF0935">
              <w:rPr>
                <w:rFonts w:ascii="Avenir Book" w:hAnsi="Avenir Book"/>
              </w:rPr>
              <w:t>$17,756,942</w:t>
            </w:r>
          </w:p>
        </w:tc>
        <w:tc>
          <w:tcPr>
            <w:tcW w:w="1870" w:type="dxa"/>
          </w:tcPr>
          <w:p w14:paraId="4A55B686" w14:textId="5F101B9B" w:rsidR="00FF0935" w:rsidRPr="00FF0935" w:rsidRDefault="00FF0935" w:rsidP="00FF0935">
            <w:pPr>
              <w:spacing w:before="100" w:after="100"/>
              <w:jc w:val="center"/>
              <w:rPr>
                <w:rFonts w:ascii="Avenir Book" w:hAnsi="Avenir Book"/>
              </w:rPr>
            </w:pPr>
            <w:r w:rsidRPr="00FF0935">
              <w:rPr>
                <w:rFonts w:ascii="Avenir Book" w:hAnsi="Avenir Book"/>
              </w:rPr>
              <w:t>$5,816,907</w:t>
            </w:r>
          </w:p>
        </w:tc>
        <w:tc>
          <w:tcPr>
            <w:tcW w:w="1870" w:type="dxa"/>
          </w:tcPr>
          <w:p w14:paraId="55481938" w14:textId="68B1E922" w:rsidR="00FF0935" w:rsidRPr="00FF0935" w:rsidRDefault="00FF0935" w:rsidP="00FF0935">
            <w:pPr>
              <w:spacing w:before="100" w:after="100"/>
              <w:jc w:val="center"/>
              <w:rPr>
                <w:rFonts w:ascii="Avenir Book" w:hAnsi="Avenir Book"/>
              </w:rPr>
            </w:pPr>
            <w:r w:rsidRPr="00FF0935">
              <w:rPr>
                <w:rFonts w:ascii="Avenir Book" w:hAnsi="Avenir Book"/>
              </w:rPr>
              <w:t>3:1</w:t>
            </w:r>
          </w:p>
        </w:tc>
        <w:tc>
          <w:tcPr>
            <w:tcW w:w="1870" w:type="dxa"/>
            <w:tcBorders>
              <w:right w:val="single" w:sz="24" w:space="0" w:color="91211B"/>
            </w:tcBorders>
          </w:tcPr>
          <w:p w14:paraId="49FC561B" w14:textId="41FDB83C" w:rsidR="00FF0935" w:rsidRPr="00FF0935" w:rsidRDefault="00FF0935" w:rsidP="00FF0935">
            <w:pPr>
              <w:spacing w:before="100" w:after="100"/>
              <w:jc w:val="center"/>
              <w:rPr>
                <w:rFonts w:ascii="Avenir Book" w:hAnsi="Avenir Book"/>
              </w:rPr>
            </w:pPr>
            <w:r w:rsidRPr="00FF0935">
              <w:rPr>
                <w:rFonts w:ascii="Avenir Book" w:hAnsi="Avenir Book"/>
              </w:rPr>
              <w:t>830,915</w:t>
            </w:r>
          </w:p>
        </w:tc>
      </w:tr>
      <w:tr w:rsidR="00FF0935" w14:paraId="5A83E935" w14:textId="77777777" w:rsidTr="007F38C9">
        <w:tc>
          <w:tcPr>
            <w:tcW w:w="1870" w:type="dxa"/>
            <w:tcBorders>
              <w:left w:val="single" w:sz="24" w:space="0" w:color="91211B"/>
              <w:bottom w:val="single" w:sz="24" w:space="0" w:color="91211B"/>
              <w:right w:val="single" w:sz="24" w:space="0" w:color="91211B"/>
            </w:tcBorders>
            <w:shd w:val="clear" w:color="auto" w:fill="404040" w:themeFill="text1" w:themeFillTint="BF"/>
          </w:tcPr>
          <w:p w14:paraId="7E26B182" w14:textId="13921F85" w:rsidR="00FF0935" w:rsidRPr="00FF0935" w:rsidRDefault="00FF0935" w:rsidP="00FF0935">
            <w:pPr>
              <w:spacing w:before="100" w:after="100"/>
              <w:jc w:val="center"/>
              <w:rPr>
                <w:rFonts w:ascii="Avenir Heavy" w:hAnsi="Avenir Heavy"/>
                <w:b/>
                <w:bCs/>
                <w:color w:val="FFFFFF" w:themeColor="background1"/>
              </w:rPr>
            </w:pPr>
            <w:r w:rsidRPr="00FF0935">
              <w:rPr>
                <w:rFonts w:ascii="Avenir Heavy" w:hAnsi="Avenir Heavy"/>
                <w:b/>
                <w:bCs/>
                <w:color w:val="FFFFFF" w:themeColor="background1"/>
              </w:rPr>
              <w:t>Philadelphia</w:t>
            </w:r>
          </w:p>
        </w:tc>
        <w:tc>
          <w:tcPr>
            <w:tcW w:w="1870" w:type="dxa"/>
            <w:tcBorders>
              <w:left w:val="single" w:sz="24" w:space="0" w:color="91211B"/>
              <w:bottom w:val="single" w:sz="24" w:space="0" w:color="91211B"/>
            </w:tcBorders>
          </w:tcPr>
          <w:p w14:paraId="2D74CB6D" w14:textId="07455BBD" w:rsidR="00FF0935" w:rsidRPr="00FF0935" w:rsidRDefault="00FF0935" w:rsidP="00FF0935">
            <w:pPr>
              <w:spacing w:before="100" w:after="100"/>
              <w:jc w:val="center"/>
              <w:rPr>
                <w:rFonts w:ascii="Avenir Book" w:hAnsi="Avenir Book"/>
              </w:rPr>
            </w:pPr>
            <w:r w:rsidRPr="00FF0935">
              <w:rPr>
                <w:rFonts w:ascii="Avenir Book" w:hAnsi="Avenir Book"/>
              </w:rPr>
              <w:t>$53,611,142</w:t>
            </w:r>
          </w:p>
        </w:tc>
        <w:tc>
          <w:tcPr>
            <w:tcW w:w="1870" w:type="dxa"/>
            <w:tcBorders>
              <w:bottom w:val="single" w:sz="24" w:space="0" w:color="91211B"/>
            </w:tcBorders>
          </w:tcPr>
          <w:p w14:paraId="74ACF088" w14:textId="07FFE7A6" w:rsidR="00FF0935" w:rsidRPr="00FF0935" w:rsidRDefault="00FF0935" w:rsidP="00FF0935">
            <w:pPr>
              <w:spacing w:before="100" w:after="100"/>
              <w:jc w:val="center"/>
              <w:rPr>
                <w:rFonts w:ascii="Avenir Book" w:hAnsi="Avenir Book"/>
              </w:rPr>
            </w:pPr>
            <w:r w:rsidRPr="00FF0935">
              <w:rPr>
                <w:rFonts w:ascii="Avenir Book" w:hAnsi="Avenir Book"/>
              </w:rPr>
              <w:t>$49,600,000</w:t>
            </w:r>
          </w:p>
        </w:tc>
        <w:tc>
          <w:tcPr>
            <w:tcW w:w="1870" w:type="dxa"/>
            <w:tcBorders>
              <w:bottom w:val="single" w:sz="24" w:space="0" w:color="91211B"/>
            </w:tcBorders>
          </w:tcPr>
          <w:p w14:paraId="29948CBD" w14:textId="0C49BE15" w:rsidR="00FF0935" w:rsidRPr="00FF0935" w:rsidRDefault="00FF0935" w:rsidP="00FF0935">
            <w:pPr>
              <w:spacing w:before="100" w:after="100"/>
              <w:jc w:val="center"/>
              <w:rPr>
                <w:rFonts w:ascii="Avenir Book" w:hAnsi="Avenir Book"/>
              </w:rPr>
            </w:pPr>
            <w:r w:rsidRPr="00FF0935">
              <w:rPr>
                <w:rFonts w:ascii="Avenir Book" w:hAnsi="Avenir Book"/>
              </w:rPr>
              <w:t>1:1</w:t>
            </w:r>
          </w:p>
        </w:tc>
        <w:tc>
          <w:tcPr>
            <w:tcW w:w="1870" w:type="dxa"/>
            <w:tcBorders>
              <w:bottom w:val="single" w:sz="24" w:space="0" w:color="91211B"/>
              <w:right w:val="single" w:sz="24" w:space="0" w:color="91211B"/>
            </w:tcBorders>
          </w:tcPr>
          <w:p w14:paraId="42E807E6" w14:textId="3D91BF72" w:rsidR="00FF0935" w:rsidRPr="00FF0935" w:rsidRDefault="00FF0935" w:rsidP="00FF0935">
            <w:pPr>
              <w:spacing w:before="100" w:after="100"/>
              <w:jc w:val="center"/>
              <w:rPr>
                <w:rFonts w:ascii="Avenir Book" w:hAnsi="Avenir Book"/>
              </w:rPr>
            </w:pPr>
            <w:r w:rsidRPr="00FF0935">
              <w:rPr>
                <w:rFonts w:ascii="Avenir Book" w:hAnsi="Avenir Book"/>
              </w:rPr>
              <w:t>1,584,064</w:t>
            </w:r>
          </w:p>
        </w:tc>
      </w:tr>
    </w:tbl>
    <w:p w14:paraId="25E0AA23" w14:textId="42DFBDA3" w:rsidR="00FF0935" w:rsidRPr="002C1119" w:rsidRDefault="000E2E79" w:rsidP="002C1119">
      <w:pPr>
        <w:spacing w:before="360" w:line="480" w:lineRule="auto"/>
        <w:rPr>
          <w:u w:val="single"/>
        </w:rPr>
      </w:pPr>
      <w:r>
        <w:rPr>
          <w:noProof/>
        </w:rPr>
        <w:pict w14:anchorId="53BC3205">
          <v:rect id="_x0000_i1043" alt="" style="width:468pt;height:.05pt;mso-width-percent:0;mso-height-percent:0;mso-width-percent:0;mso-height-percent:0" o:hralign="center" o:hrstd="t" o:hr="t" fillcolor="#a0a0a0" stroked="f"/>
        </w:pict>
      </w:r>
      <w:bookmarkStart w:id="8" w:name="_Toc62730363"/>
    </w:p>
    <w:p w14:paraId="3F4C157F" w14:textId="3CA9B4F8" w:rsidR="007F38C9" w:rsidRDefault="007F38C9" w:rsidP="001161E1">
      <w:pPr>
        <w:pStyle w:val="Head3"/>
        <w:rPr>
          <w:sz w:val="24"/>
          <w:szCs w:val="24"/>
        </w:rPr>
      </w:pPr>
    </w:p>
    <w:p w14:paraId="55905127" w14:textId="1C8634D0" w:rsidR="003F1B4B" w:rsidRDefault="003F1B4B" w:rsidP="001161E1">
      <w:pPr>
        <w:pStyle w:val="Head3"/>
        <w:rPr>
          <w:sz w:val="24"/>
          <w:szCs w:val="24"/>
        </w:rPr>
      </w:pPr>
    </w:p>
    <w:p w14:paraId="63A4DBC3" w14:textId="77777777" w:rsidR="003F1B4B" w:rsidRPr="003F1B4B" w:rsidRDefault="003F1B4B" w:rsidP="001161E1">
      <w:pPr>
        <w:pStyle w:val="Head3"/>
        <w:rPr>
          <w:sz w:val="24"/>
          <w:szCs w:val="24"/>
        </w:rPr>
      </w:pPr>
    </w:p>
    <w:p w14:paraId="0E7DA665" w14:textId="1B810290" w:rsidR="000F6C1C" w:rsidRDefault="000F6C1C" w:rsidP="001161E1">
      <w:pPr>
        <w:pStyle w:val="Head3"/>
      </w:pPr>
      <w:r>
        <w:lastRenderedPageBreak/>
        <w:t>The Role of Montgomery County Board of Commissioners</w:t>
      </w:r>
      <w:bookmarkEnd w:id="8"/>
    </w:p>
    <w:p w14:paraId="056531A8" w14:textId="64AA7A17" w:rsidR="002C40AD" w:rsidRPr="00FF0935" w:rsidRDefault="000E2E79" w:rsidP="00FF0935">
      <w:pPr>
        <w:spacing w:line="360" w:lineRule="auto"/>
        <w:ind w:firstLine="720"/>
        <w:jc w:val="both"/>
        <w:rPr>
          <w:rFonts w:ascii="Avenir Book" w:hAnsi="Avenir Book"/>
        </w:rPr>
      </w:pPr>
      <w:sdt>
        <w:sdtPr>
          <w:rPr>
            <w:rFonts w:ascii="Avenir Book" w:hAnsi="Avenir Book"/>
          </w:rPr>
          <w:tag w:val="goog_rdk_43"/>
          <w:id w:val="2010243223"/>
          <w:showingPlcHdr/>
        </w:sdtPr>
        <w:sdtEndPr/>
        <w:sdtContent>
          <w:r w:rsidR="002C1119">
            <w:rPr>
              <w:rFonts w:ascii="Avenir Book" w:hAnsi="Avenir Book"/>
            </w:rPr>
            <w:t xml:space="preserve">     </w:t>
          </w:r>
        </w:sdtContent>
      </w:sdt>
      <w:r w:rsidR="000F6C1C" w:rsidRPr="00FF0935">
        <w:rPr>
          <w:rFonts w:ascii="Avenir Book" w:hAnsi="Avenir Book"/>
        </w:rPr>
        <w:t xml:space="preserve">Montgomery County describes the role of the Board of Commissioners </w:t>
      </w:r>
      <w:r w:rsidR="002C40AD" w:rsidRPr="00FF0935">
        <w:rPr>
          <w:rFonts w:ascii="Avenir Book" w:hAnsi="Avenir Book"/>
        </w:rPr>
        <w:t xml:space="preserve">(also referred to hereinafter as the “Commission”) </w:t>
      </w:r>
      <w:r w:rsidR="000F6C1C" w:rsidRPr="00FF0935">
        <w:rPr>
          <w:rFonts w:ascii="Avenir Book" w:hAnsi="Avenir Book"/>
        </w:rPr>
        <w:t>as the “legislative and executive arm of the Montgomery County government.”</w:t>
      </w:r>
      <w:r w:rsidR="000F6C1C" w:rsidRPr="00FF0935">
        <w:rPr>
          <w:rFonts w:ascii="Avenir Book" w:hAnsi="Avenir Book"/>
          <w:vertAlign w:val="superscript"/>
        </w:rPr>
        <w:endnoteReference w:id="49"/>
      </w:r>
      <w:r w:rsidR="000F6C1C" w:rsidRPr="00FF0935">
        <w:rPr>
          <w:rFonts w:ascii="Avenir Book" w:hAnsi="Avenir Book"/>
        </w:rPr>
        <w:t xml:space="preserve"> </w:t>
      </w:r>
    </w:p>
    <w:p w14:paraId="648A0B3D" w14:textId="38236EA8" w:rsidR="00FF0935" w:rsidRDefault="002C40AD" w:rsidP="000366F8">
      <w:pPr>
        <w:spacing w:line="360" w:lineRule="auto"/>
        <w:ind w:firstLine="720"/>
        <w:jc w:val="both"/>
        <w:rPr>
          <w:rFonts w:ascii="Avenir Book" w:hAnsi="Avenir Book"/>
          <w:vertAlign w:val="superscript"/>
        </w:rPr>
      </w:pPr>
      <w:r w:rsidRPr="00FF0935">
        <w:rPr>
          <w:rFonts w:ascii="Avenir Book" w:hAnsi="Avenir Book"/>
        </w:rPr>
        <w:t>The Commission is composed of t</w:t>
      </w:r>
      <w:r w:rsidR="000F6C1C" w:rsidRPr="00FF0935">
        <w:rPr>
          <w:rFonts w:ascii="Avenir Book" w:hAnsi="Avenir Book"/>
        </w:rPr>
        <w:t>hree Commissioners</w:t>
      </w:r>
      <w:r w:rsidRPr="00FF0935">
        <w:rPr>
          <w:rFonts w:ascii="Avenir Book" w:hAnsi="Avenir Book"/>
        </w:rPr>
        <w:t xml:space="preserve"> who are each</w:t>
      </w:r>
      <w:r w:rsidR="000F6C1C" w:rsidRPr="00FF0935">
        <w:rPr>
          <w:rFonts w:ascii="Avenir Book" w:hAnsi="Avenir Book"/>
        </w:rPr>
        <w:t xml:space="preserve"> elected to four-year terms by Montgomery County residents.</w:t>
      </w:r>
      <w:r w:rsidR="000F6C1C" w:rsidRPr="00FF0935">
        <w:rPr>
          <w:rFonts w:ascii="Avenir Book" w:hAnsi="Avenir Book"/>
          <w:vertAlign w:val="superscript"/>
        </w:rPr>
        <w:endnoteReference w:id="50"/>
      </w:r>
      <w:r w:rsidR="000F6C1C" w:rsidRPr="00FF0935">
        <w:rPr>
          <w:rFonts w:ascii="Avenir Book" w:hAnsi="Avenir Book"/>
        </w:rPr>
        <w:t xml:space="preserve"> </w:t>
      </w:r>
      <w:r w:rsidRPr="00FF0935">
        <w:rPr>
          <w:rFonts w:ascii="Avenir Book" w:hAnsi="Avenir Book"/>
        </w:rPr>
        <w:t>O</w:t>
      </w:r>
      <w:r w:rsidR="000F6C1C" w:rsidRPr="00FF0935">
        <w:rPr>
          <w:rFonts w:ascii="Avenir Book" w:hAnsi="Avenir Book"/>
        </w:rPr>
        <w:t xml:space="preserve">ne </w:t>
      </w:r>
      <w:r w:rsidRPr="00FF0935">
        <w:rPr>
          <w:rFonts w:ascii="Avenir Book" w:hAnsi="Avenir Book"/>
        </w:rPr>
        <w:t>of the three commissioners is selected to serve as chairperson</w:t>
      </w:r>
      <w:r w:rsidR="000F6C1C" w:rsidRPr="00FF0935">
        <w:rPr>
          <w:rFonts w:ascii="Avenir Book" w:hAnsi="Avenir Book"/>
        </w:rPr>
        <w:t>.</w:t>
      </w:r>
      <w:r w:rsidR="000F6C1C" w:rsidRPr="00FF0935">
        <w:rPr>
          <w:rFonts w:ascii="Avenir Book" w:hAnsi="Avenir Book"/>
          <w:vertAlign w:val="superscript"/>
        </w:rPr>
        <w:endnoteReference w:id="51"/>
      </w:r>
      <w:r w:rsidR="000F6C1C" w:rsidRPr="00FF0935">
        <w:rPr>
          <w:rFonts w:ascii="Avenir Book" w:hAnsi="Avenir Book"/>
        </w:rPr>
        <w:t xml:space="preserve"> The </w:t>
      </w:r>
      <w:r w:rsidR="00725785" w:rsidRPr="00FF0935">
        <w:rPr>
          <w:rFonts w:ascii="Avenir Book" w:hAnsi="Avenir Book"/>
        </w:rPr>
        <w:t>Commission is</w:t>
      </w:r>
      <w:r w:rsidR="000F6C1C" w:rsidRPr="00FF0935">
        <w:rPr>
          <w:rFonts w:ascii="Avenir Book" w:hAnsi="Avenir Book"/>
        </w:rPr>
        <w:t xml:space="preserve"> responsible for appointing the county’s Chief Public Defender, as well as all department heads and other members of boards, authorities, and committees in the county.</w:t>
      </w:r>
      <w:r w:rsidR="000F6C1C" w:rsidRPr="00FF0935">
        <w:rPr>
          <w:rFonts w:ascii="Avenir Book" w:hAnsi="Avenir Book"/>
          <w:vertAlign w:val="superscript"/>
        </w:rPr>
        <w:endnoteReference w:id="52"/>
      </w:r>
      <w:r w:rsidR="000F6C1C" w:rsidRPr="00FF0935">
        <w:rPr>
          <w:rFonts w:ascii="Avenir Book" w:hAnsi="Avenir Book"/>
        </w:rPr>
        <w:t xml:space="preserve"> The </w:t>
      </w:r>
      <w:r w:rsidR="00725785" w:rsidRPr="00FF0935">
        <w:rPr>
          <w:rFonts w:ascii="Avenir Book" w:hAnsi="Avenir Book"/>
        </w:rPr>
        <w:t>Commission</w:t>
      </w:r>
      <w:r w:rsidR="000F6C1C" w:rsidRPr="00FF0935">
        <w:rPr>
          <w:rFonts w:ascii="Avenir Book" w:hAnsi="Avenir Book"/>
        </w:rPr>
        <w:t xml:space="preserve"> also appoint</w:t>
      </w:r>
      <w:r w:rsidR="00725785" w:rsidRPr="00FF0935">
        <w:rPr>
          <w:rFonts w:ascii="Avenir Book" w:hAnsi="Avenir Book"/>
        </w:rPr>
        <w:t>s</w:t>
      </w:r>
      <w:r w:rsidR="000F6C1C" w:rsidRPr="00FF0935">
        <w:rPr>
          <w:rFonts w:ascii="Avenir Book" w:hAnsi="Avenir Book"/>
        </w:rPr>
        <w:t xml:space="preserve"> the heads of all county offices and establish</w:t>
      </w:r>
      <w:r w:rsidR="00725785" w:rsidRPr="00FF0935">
        <w:rPr>
          <w:rFonts w:ascii="Avenir Book" w:hAnsi="Avenir Book"/>
        </w:rPr>
        <w:t>es</w:t>
      </w:r>
      <w:r w:rsidR="000F6C1C" w:rsidRPr="00FF0935">
        <w:rPr>
          <w:rFonts w:ascii="Avenir Book" w:hAnsi="Avenir Book"/>
        </w:rPr>
        <w:t xml:space="preserve"> the salaries of all employees</w:t>
      </w:r>
      <w:r w:rsidR="00725785" w:rsidRPr="00FF0935">
        <w:rPr>
          <w:rFonts w:ascii="Avenir Book" w:hAnsi="Avenir Book"/>
        </w:rPr>
        <w:t>,</w:t>
      </w:r>
      <w:r w:rsidR="000F6C1C" w:rsidRPr="00FF0935">
        <w:rPr>
          <w:rFonts w:ascii="Avenir Book" w:hAnsi="Avenir Book"/>
        </w:rPr>
        <w:t xml:space="preserve"> in collaboration with the county’s controller.</w:t>
      </w:r>
      <w:r w:rsidR="000F6C1C" w:rsidRPr="00FF0935">
        <w:rPr>
          <w:rFonts w:ascii="Avenir Book" w:hAnsi="Avenir Book"/>
          <w:vertAlign w:val="superscript"/>
        </w:rPr>
        <w:endnoteReference w:id="53"/>
      </w:r>
      <w:r w:rsidR="000F6C1C" w:rsidRPr="00FF0935">
        <w:rPr>
          <w:rFonts w:ascii="Avenir Book" w:hAnsi="Avenir Book"/>
        </w:rPr>
        <w:t xml:space="preserve"> Lastly, </w:t>
      </w:r>
      <w:r w:rsidR="00725785" w:rsidRPr="00FF0935">
        <w:rPr>
          <w:rFonts w:ascii="Avenir Book" w:hAnsi="Avenir Book"/>
        </w:rPr>
        <w:t>t</w:t>
      </w:r>
      <w:r w:rsidR="000F6C1C" w:rsidRPr="00FF0935">
        <w:rPr>
          <w:rFonts w:ascii="Avenir Book" w:hAnsi="Avenir Book"/>
        </w:rPr>
        <w:t>he Commission has  the critical responsibility of planning and executing the county’s budgets and financing each year.</w:t>
      </w:r>
      <w:r w:rsidR="000F6C1C" w:rsidRPr="00FF0935">
        <w:rPr>
          <w:rFonts w:ascii="Avenir Book" w:hAnsi="Avenir Book"/>
          <w:vertAlign w:val="superscript"/>
        </w:rPr>
        <w:endnoteReference w:id="54"/>
      </w:r>
      <w:r w:rsidR="000F6C1C" w:rsidRPr="00FF0935">
        <w:rPr>
          <w:rFonts w:ascii="Avenir Book" w:hAnsi="Avenir Book"/>
          <w:vertAlign w:val="superscript"/>
        </w:rPr>
        <w:t xml:space="preserve"> </w:t>
      </w:r>
      <w:bookmarkStart w:id="9" w:name="_Toc62730364"/>
    </w:p>
    <w:p w14:paraId="4258FFB8" w14:textId="77777777" w:rsidR="000366F8" w:rsidRPr="000366F8" w:rsidRDefault="000366F8" w:rsidP="000366F8">
      <w:pPr>
        <w:spacing w:line="360" w:lineRule="auto"/>
        <w:ind w:firstLine="720"/>
        <w:jc w:val="both"/>
        <w:rPr>
          <w:rFonts w:ascii="Avenir Book" w:hAnsi="Avenir Book"/>
          <w:vertAlign w:val="superscript"/>
        </w:rPr>
      </w:pPr>
    </w:p>
    <w:p w14:paraId="1A81ECF1" w14:textId="0DB2C284" w:rsidR="005D5C2F" w:rsidRDefault="00D267E7" w:rsidP="001161E1">
      <w:pPr>
        <w:pStyle w:val="Head3"/>
      </w:pPr>
      <w:r>
        <w:t xml:space="preserve">The </w:t>
      </w:r>
      <w:r w:rsidR="000F6C1C">
        <w:t>Montgomery County Budget</w:t>
      </w:r>
      <w:bookmarkEnd w:id="9"/>
    </w:p>
    <w:p w14:paraId="21B3CE04" w14:textId="468FBDA1" w:rsidR="007F38C9" w:rsidRDefault="005D5C2F" w:rsidP="007F38C9">
      <w:pPr>
        <w:spacing w:line="360" w:lineRule="auto"/>
        <w:ind w:firstLine="720"/>
        <w:jc w:val="both"/>
        <w:rPr>
          <w:rFonts w:ascii="Avenir Book" w:hAnsi="Avenir Book"/>
        </w:rPr>
      </w:pPr>
      <w:r w:rsidRPr="00FF0935">
        <w:rPr>
          <w:rFonts w:ascii="Avenir Book" w:hAnsi="Avenir Book"/>
        </w:rPr>
        <w:t xml:space="preserve">The following table provides a </w:t>
      </w:r>
      <w:proofErr w:type="gramStart"/>
      <w:r w:rsidRPr="00FF0935">
        <w:rPr>
          <w:rFonts w:ascii="Avenir Book" w:hAnsi="Avenir Book"/>
        </w:rPr>
        <w:t>high level</w:t>
      </w:r>
      <w:proofErr w:type="gramEnd"/>
      <w:r w:rsidRPr="00FF0935">
        <w:rPr>
          <w:rFonts w:ascii="Avenir Book" w:hAnsi="Avenir Book"/>
        </w:rPr>
        <w:t xml:space="preserve"> summary of </w:t>
      </w:r>
      <w:r w:rsidR="000F6C1C" w:rsidRPr="00FF0935">
        <w:rPr>
          <w:rFonts w:ascii="Avenir Book" w:hAnsi="Avenir Book"/>
        </w:rPr>
        <w:t>Montgomery County’s projected budget for 2020, including</w:t>
      </w:r>
      <w:r w:rsidR="00C870B9" w:rsidRPr="00FF0935">
        <w:rPr>
          <w:rFonts w:ascii="Avenir Book" w:hAnsi="Avenir Book"/>
        </w:rPr>
        <w:t xml:space="preserve"> allocations for the District Attorney and</w:t>
      </w:r>
      <w:r w:rsidR="000F6C1C" w:rsidRPr="00FF0935">
        <w:rPr>
          <w:rFonts w:ascii="Avenir Book" w:hAnsi="Avenir Book"/>
        </w:rPr>
        <w:t xml:space="preserve"> the expense breakdown </w:t>
      </w:r>
      <w:r w:rsidR="00C870B9" w:rsidRPr="00FF0935">
        <w:rPr>
          <w:rFonts w:ascii="Avenir Book" w:hAnsi="Avenir Book"/>
        </w:rPr>
        <w:t>for</w:t>
      </w:r>
      <w:r w:rsidR="000F6C1C" w:rsidRPr="00FF0935">
        <w:rPr>
          <w:rFonts w:ascii="Avenir Book" w:hAnsi="Avenir Book"/>
        </w:rPr>
        <w:t xml:space="preserve"> the Public Defender Office. This budget is largely derived from local real estate taxes, which make up 50%</w:t>
      </w:r>
      <w:r w:rsidRPr="00FF0935">
        <w:rPr>
          <w:rFonts w:ascii="Avenir Book" w:hAnsi="Avenir Book"/>
        </w:rPr>
        <w:t xml:space="preserve"> of county resources</w:t>
      </w:r>
      <w:r w:rsidR="000F6C1C" w:rsidRPr="00FF0935">
        <w:rPr>
          <w:rFonts w:ascii="Avenir Book" w:hAnsi="Avenir Book"/>
        </w:rPr>
        <w:t>.</w:t>
      </w:r>
      <w:r w:rsidR="000F6C1C" w:rsidRPr="00FF0935">
        <w:rPr>
          <w:rFonts w:ascii="Avenir Book" w:hAnsi="Avenir Book"/>
          <w:vertAlign w:val="superscript"/>
        </w:rPr>
        <w:endnoteReference w:id="55"/>
      </w:r>
      <w:r w:rsidR="000F6C1C" w:rsidRPr="00FF0935">
        <w:rPr>
          <w:rFonts w:ascii="Avenir Book" w:hAnsi="Avenir Book"/>
        </w:rPr>
        <w:t xml:space="preserve"> Another 36% of the budget comes from federal and state grants, and 14% is derived from departmental revenues and “other” sources.</w:t>
      </w:r>
      <w:r w:rsidR="000F6C1C" w:rsidRPr="00FF0935">
        <w:rPr>
          <w:rFonts w:ascii="Avenir Book" w:hAnsi="Avenir Book"/>
          <w:vertAlign w:val="superscript"/>
        </w:rPr>
        <w:endnoteReference w:id="56"/>
      </w:r>
      <w:r w:rsidR="000F6C1C" w:rsidRPr="00FF0935">
        <w:rPr>
          <w:rFonts w:ascii="Avenir Book" w:hAnsi="Avenir Book"/>
        </w:rPr>
        <w:t xml:space="preserve"> </w:t>
      </w:r>
    </w:p>
    <w:p w14:paraId="136A91A6" w14:textId="7A623DB5" w:rsidR="003F1B4B" w:rsidRDefault="003F1B4B" w:rsidP="007F38C9">
      <w:pPr>
        <w:spacing w:line="360" w:lineRule="auto"/>
        <w:ind w:firstLine="720"/>
        <w:jc w:val="both"/>
        <w:rPr>
          <w:rFonts w:ascii="Avenir Book" w:hAnsi="Avenir Book"/>
        </w:rPr>
      </w:pPr>
    </w:p>
    <w:p w14:paraId="25E62FA2" w14:textId="0ABE1C77" w:rsidR="003F1B4B" w:rsidRDefault="003F1B4B" w:rsidP="007F38C9">
      <w:pPr>
        <w:spacing w:line="360" w:lineRule="auto"/>
        <w:ind w:firstLine="720"/>
        <w:jc w:val="both"/>
        <w:rPr>
          <w:rFonts w:ascii="Avenir Book" w:hAnsi="Avenir Book"/>
        </w:rPr>
      </w:pPr>
    </w:p>
    <w:p w14:paraId="3A56C710" w14:textId="2E1F95BE" w:rsidR="003F1B4B" w:rsidRDefault="003F1B4B" w:rsidP="007F38C9">
      <w:pPr>
        <w:spacing w:line="360" w:lineRule="auto"/>
        <w:ind w:firstLine="720"/>
        <w:jc w:val="both"/>
        <w:rPr>
          <w:rFonts w:ascii="Avenir Book" w:hAnsi="Avenir Book"/>
        </w:rPr>
      </w:pPr>
    </w:p>
    <w:p w14:paraId="0CC06734" w14:textId="4C43ECD0" w:rsidR="003F1B4B" w:rsidRDefault="003F1B4B" w:rsidP="007F38C9">
      <w:pPr>
        <w:spacing w:line="360" w:lineRule="auto"/>
        <w:ind w:firstLine="720"/>
        <w:jc w:val="both"/>
        <w:rPr>
          <w:rFonts w:ascii="Avenir Book" w:hAnsi="Avenir Book"/>
        </w:rPr>
      </w:pPr>
    </w:p>
    <w:p w14:paraId="64E0C6DF" w14:textId="77777777" w:rsidR="003F1B4B" w:rsidRDefault="003F1B4B" w:rsidP="007F38C9">
      <w:pPr>
        <w:spacing w:line="360" w:lineRule="auto"/>
        <w:ind w:firstLine="720"/>
        <w:jc w:val="both"/>
        <w:rPr>
          <w:rFonts w:ascii="Avenir Book" w:hAnsi="Avenir Book"/>
        </w:rPr>
      </w:pPr>
    </w:p>
    <w:p w14:paraId="5290E3D3" w14:textId="77777777" w:rsidR="007F38C9" w:rsidRDefault="007F38C9" w:rsidP="007F38C9">
      <w:pPr>
        <w:spacing w:line="360" w:lineRule="auto"/>
        <w:ind w:firstLine="720"/>
        <w:jc w:val="both"/>
        <w:rPr>
          <w:rFonts w:ascii="Avenir Book" w:hAnsi="Avenir Book"/>
        </w:rPr>
      </w:pPr>
    </w:p>
    <w:p w14:paraId="2D438BCA" w14:textId="232E5C04" w:rsidR="00BD5096" w:rsidRDefault="000E2E79" w:rsidP="007F38C9">
      <w:pPr>
        <w:spacing w:line="360" w:lineRule="auto"/>
        <w:jc w:val="both"/>
        <w:rPr>
          <w:rFonts w:ascii="Avenir Book" w:hAnsi="Avenir Book"/>
        </w:rPr>
      </w:pPr>
      <w:r>
        <w:rPr>
          <w:noProof/>
          <w:sz w:val="10"/>
          <w:szCs w:val="10"/>
        </w:rPr>
        <w:pict w14:anchorId="7CC59852">
          <v:rect id="_x0000_i1042" alt="" style="width:468pt;height:.05pt;mso-width-percent:0;mso-height-percent:0;mso-width-percent:0;mso-height-percent:0" o:hralign="center" o:hrstd="t" o:hr="t" fillcolor="#a0a0a0" stroked="f"/>
        </w:pict>
      </w:r>
    </w:p>
    <w:p w14:paraId="6217416F" w14:textId="77777777" w:rsidR="000366F8" w:rsidRPr="00FF0935" w:rsidRDefault="000366F8" w:rsidP="007F38C9">
      <w:pPr>
        <w:spacing w:line="360" w:lineRule="auto"/>
        <w:jc w:val="both"/>
        <w:rPr>
          <w:rFonts w:ascii="Avenir Book" w:hAnsi="Avenir Book"/>
        </w:rPr>
      </w:pPr>
    </w:p>
    <w:tbl>
      <w:tblPr>
        <w:tblStyle w:val="TableGrid"/>
        <w:tblW w:w="0" w:type="auto"/>
        <w:tblLook w:val="04A0" w:firstRow="1" w:lastRow="0" w:firstColumn="1" w:lastColumn="0" w:noHBand="0" w:noVBand="1"/>
      </w:tblPr>
      <w:tblGrid>
        <w:gridCol w:w="4290"/>
        <w:gridCol w:w="5010"/>
      </w:tblGrid>
      <w:tr w:rsidR="002C1119" w14:paraId="04E48755" w14:textId="77777777" w:rsidTr="007F38C9">
        <w:tc>
          <w:tcPr>
            <w:tcW w:w="9300" w:type="dxa"/>
            <w:gridSpan w:val="2"/>
            <w:tcBorders>
              <w:top w:val="single" w:sz="24" w:space="0" w:color="91211B"/>
              <w:left w:val="single" w:sz="24" w:space="0" w:color="91211B"/>
              <w:right w:val="single" w:sz="24" w:space="0" w:color="91211B"/>
            </w:tcBorders>
            <w:shd w:val="clear" w:color="auto" w:fill="91211B"/>
          </w:tcPr>
          <w:p w14:paraId="45E88935" w14:textId="09FA866B" w:rsidR="002C1119" w:rsidRDefault="007F38C9" w:rsidP="007F38C9">
            <w:pPr>
              <w:jc w:val="center"/>
            </w:pPr>
            <w:r>
              <w:rPr>
                <w:rFonts w:ascii="Avenir Black Oblique" w:hAnsi="Avenir Black Oblique"/>
                <w:b/>
                <w:bCs/>
                <w:i/>
                <w:iCs/>
                <w:color w:val="FFFFFF" w:themeColor="background1"/>
                <w:sz w:val="30"/>
                <w:szCs w:val="30"/>
              </w:rPr>
              <w:t>Montgomery County Budget</w:t>
            </w:r>
          </w:p>
        </w:tc>
      </w:tr>
      <w:tr w:rsidR="007F38C9" w14:paraId="611E2458" w14:textId="77777777" w:rsidTr="007F38C9">
        <w:tc>
          <w:tcPr>
            <w:tcW w:w="4290" w:type="dxa"/>
            <w:tcBorders>
              <w:left w:val="single" w:sz="24" w:space="0" w:color="91211B"/>
            </w:tcBorders>
            <w:shd w:val="clear" w:color="auto" w:fill="404040" w:themeFill="text1" w:themeFillTint="BF"/>
          </w:tcPr>
          <w:p w14:paraId="4E286985" w14:textId="409FF88B" w:rsidR="007F38C9" w:rsidRPr="007F38C9" w:rsidRDefault="007F38C9" w:rsidP="00BD5096">
            <w:pPr>
              <w:spacing w:before="60" w:after="60"/>
              <w:jc w:val="center"/>
              <w:rPr>
                <w:rFonts w:ascii="Avenir Heavy Oblique" w:hAnsi="Avenir Heavy Oblique"/>
                <w:b/>
                <w:bCs/>
                <w:i/>
                <w:iCs/>
                <w:color w:val="FFFFFF" w:themeColor="background1"/>
              </w:rPr>
            </w:pPr>
            <w:r w:rsidRPr="007F38C9">
              <w:rPr>
                <w:rFonts w:ascii="Avenir Heavy Oblique" w:hAnsi="Avenir Heavy Oblique"/>
                <w:b/>
                <w:bCs/>
                <w:i/>
                <w:iCs/>
                <w:color w:val="FFFFFF" w:themeColor="background1"/>
              </w:rPr>
              <w:t>Total</w:t>
            </w:r>
            <w:r>
              <w:rPr>
                <w:rFonts w:ascii="Avenir Heavy Oblique" w:hAnsi="Avenir Heavy Oblique"/>
                <w:b/>
                <w:bCs/>
                <w:i/>
                <w:iCs/>
                <w:color w:val="FFFFFF" w:themeColor="background1"/>
              </w:rPr>
              <w:t xml:space="preserve"> Budget</w:t>
            </w:r>
          </w:p>
        </w:tc>
        <w:tc>
          <w:tcPr>
            <w:tcW w:w="5010" w:type="dxa"/>
            <w:tcBorders>
              <w:right w:val="single" w:sz="24" w:space="0" w:color="91211B"/>
            </w:tcBorders>
          </w:tcPr>
          <w:p w14:paraId="7F650282" w14:textId="08F9F5F4" w:rsidR="007F38C9" w:rsidRPr="007F38C9" w:rsidRDefault="007F38C9" w:rsidP="00BD5096">
            <w:pPr>
              <w:spacing w:before="60" w:after="60"/>
              <w:jc w:val="center"/>
              <w:rPr>
                <w:rFonts w:ascii="Avenir Book" w:hAnsi="Avenir Book"/>
              </w:rPr>
            </w:pPr>
            <w:r w:rsidRPr="007F38C9">
              <w:rPr>
                <w:rFonts w:ascii="Avenir Book" w:hAnsi="Avenir Book"/>
              </w:rPr>
              <w:t>$428,458,787</w:t>
            </w:r>
          </w:p>
        </w:tc>
      </w:tr>
      <w:tr w:rsidR="007F38C9" w14:paraId="057B326A" w14:textId="77777777" w:rsidTr="007F38C9">
        <w:trPr>
          <w:trHeight w:val="101"/>
        </w:trPr>
        <w:tc>
          <w:tcPr>
            <w:tcW w:w="4290" w:type="dxa"/>
            <w:tcBorders>
              <w:left w:val="single" w:sz="24" w:space="0" w:color="91211B"/>
            </w:tcBorders>
            <w:shd w:val="clear" w:color="auto" w:fill="404040" w:themeFill="text1" w:themeFillTint="BF"/>
          </w:tcPr>
          <w:p w14:paraId="5C652C31" w14:textId="2538B528" w:rsidR="007F38C9" w:rsidRPr="007F38C9" w:rsidRDefault="007F38C9" w:rsidP="00BD5096">
            <w:pPr>
              <w:spacing w:before="60" w:after="60"/>
              <w:jc w:val="center"/>
              <w:rPr>
                <w:rFonts w:ascii="Avenir Heavy Oblique" w:hAnsi="Avenir Heavy Oblique"/>
                <w:b/>
                <w:bCs/>
                <w:i/>
                <w:iCs/>
                <w:color w:val="FFFFFF" w:themeColor="background1"/>
              </w:rPr>
            </w:pPr>
            <w:r>
              <w:rPr>
                <w:rFonts w:ascii="Avenir Heavy Oblique" w:hAnsi="Avenir Heavy Oblique"/>
                <w:b/>
                <w:bCs/>
                <w:i/>
                <w:iCs/>
                <w:color w:val="FFFFFF" w:themeColor="background1"/>
              </w:rPr>
              <w:t>District Attorney Budget (2020)</w:t>
            </w:r>
          </w:p>
        </w:tc>
        <w:tc>
          <w:tcPr>
            <w:tcW w:w="5010" w:type="dxa"/>
            <w:tcBorders>
              <w:right w:val="single" w:sz="24" w:space="0" w:color="91211B"/>
            </w:tcBorders>
          </w:tcPr>
          <w:p w14:paraId="305D470B" w14:textId="3911C29B" w:rsidR="007F38C9" w:rsidRPr="007F38C9" w:rsidRDefault="007F38C9" w:rsidP="00BD5096">
            <w:pPr>
              <w:spacing w:before="60" w:after="60"/>
              <w:jc w:val="center"/>
              <w:rPr>
                <w:rFonts w:ascii="Avenir Book" w:hAnsi="Avenir Book"/>
              </w:rPr>
            </w:pPr>
            <w:r w:rsidRPr="007F38C9">
              <w:rPr>
                <w:rFonts w:ascii="Avenir Book" w:hAnsi="Avenir Book"/>
              </w:rPr>
              <w:t xml:space="preserve">$17,756,942 </w:t>
            </w:r>
            <w:r>
              <w:rPr>
                <w:rFonts w:ascii="Avenir Book" w:hAnsi="Avenir Book"/>
              </w:rPr>
              <w:t xml:space="preserve">                                     </w:t>
            </w:r>
            <w:proofErr w:type="gramStart"/>
            <w:r>
              <w:rPr>
                <w:rFonts w:ascii="Avenir Book" w:hAnsi="Avenir Book"/>
              </w:rPr>
              <w:t xml:space="preserve">   </w:t>
            </w:r>
            <w:r w:rsidRPr="007F38C9">
              <w:rPr>
                <w:rFonts w:ascii="Avenir Book" w:hAnsi="Avenir Book"/>
              </w:rPr>
              <w:t>(</w:t>
            </w:r>
            <w:proofErr w:type="gramEnd"/>
            <w:r w:rsidRPr="007F38C9">
              <w:rPr>
                <w:rFonts w:ascii="Avenir Book" w:hAnsi="Avenir Book"/>
              </w:rPr>
              <w:t>22.5% of judicial administration budget)</w:t>
            </w:r>
          </w:p>
        </w:tc>
      </w:tr>
      <w:tr w:rsidR="007F38C9" w14:paraId="4740BFAE" w14:textId="77777777" w:rsidTr="007F38C9">
        <w:tc>
          <w:tcPr>
            <w:tcW w:w="4290" w:type="dxa"/>
            <w:tcBorders>
              <w:left w:val="single" w:sz="24" w:space="0" w:color="91211B"/>
            </w:tcBorders>
            <w:shd w:val="clear" w:color="auto" w:fill="404040" w:themeFill="text1" w:themeFillTint="BF"/>
          </w:tcPr>
          <w:p w14:paraId="6249AF93" w14:textId="1952BB7A" w:rsidR="007F38C9" w:rsidRPr="007F38C9" w:rsidRDefault="007F38C9" w:rsidP="00BD5096">
            <w:pPr>
              <w:spacing w:before="60" w:after="60"/>
              <w:jc w:val="center"/>
              <w:rPr>
                <w:rFonts w:ascii="Avenir Heavy Oblique" w:hAnsi="Avenir Heavy Oblique"/>
                <w:b/>
                <w:bCs/>
                <w:i/>
                <w:iCs/>
                <w:color w:val="FFFFFF" w:themeColor="background1"/>
              </w:rPr>
            </w:pPr>
            <w:r>
              <w:rPr>
                <w:rFonts w:ascii="Avenir Heavy Oblique" w:hAnsi="Avenir Heavy Oblique"/>
                <w:b/>
                <w:bCs/>
                <w:i/>
                <w:iCs/>
                <w:color w:val="FFFFFF" w:themeColor="background1"/>
              </w:rPr>
              <w:t>Public Defender Budget (2020)</w:t>
            </w:r>
          </w:p>
        </w:tc>
        <w:tc>
          <w:tcPr>
            <w:tcW w:w="5010" w:type="dxa"/>
            <w:tcBorders>
              <w:right w:val="single" w:sz="24" w:space="0" w:color="91211B"/>
            </w:tcBorders>
          </w:tcPr>
          <w:p w14:paraId="3FE1748B" w14:textId="606B7330" w:rsidR="007F38C9" w:rsidRPr="007F38C9" w:rsidRDefault="007F38C9" w:rsidP="00BD5096">
            <w:pPr>
              <w:spacing w:before="60" w:after="60"/>
              <w:jc w:val="center"/>
              <w:rPr>
                <w:rFonts w:ascii="Avenir Book" w:hAnsi="Avenir Book"/>
              </w:rPr>
            </w:pPr>
            <w:r w:rsidRPr="007F38C9">
              <w:rPr>
                <w:rFonts w:ascii="Avenir Book" w:hAnsi="Avenir Book"/>
              </w:rPr>
              <w:t xml:space="preserve">$5,816,907 </w:t>
            </w:r>
            <w:r>
              <w:rPr>
                <w:rFonts w:ascii="Avenir Book" w:hAnsi="Avenir Book"/>
              </w:rPr>
              <w:t xml:space="preserve">                                            </w:t>
            </w:r>
            <w:proofErr w:type="gramStart"/>
            <w:r>
              <w:rPr>
                <w:rFonts w:ascii="Avenir Book" w:hAnsi="Avenir Book"/>
              </w:rPr>
              <w:t xml:space="preserve">   </w:t>
            </w:r>
            <w:r w:rsidRPr="007F38C9">
              <w:rPr>
                <w:rFonts w:ascii="Avenir Book" w:hAnsi="Avenir Book"/>
              </w:rPr>
              <w:t>(</w:t>
            </w:r>
            <w:proofErr w:type="gramEnd"/>
            <w:r w:rsidRPr="007F38C9">
              <w:rPr>
                <w:rFonts w:ascii="Avenir Book" w:hAnsi="Avenir Book"/>
              </w:rPr>
              <w:t>10% of county administration budget)</w:t>
            </w:r>
          </w:p>
        </w:tc>
      </w:tr>
      <w:tr w:rsidR="007F38C9" w14:paraId="0E6C84CB" w14:textId="77777777" w:rsidTr="007F38C9">
        <w:tc>
          <w:tcPr>
            <w:tcW w:w="4290" w:type="dxa"/>
            <w:tcBorders>
              <w:left w:val="single" w:sz="24" w:space="0" w:color="91211B"/>
            </w:tcBorders>
            <w:shd w:val="clear" w:color="auto" w:fill="404040" w:themeFill="text1" w:themeFillTint="BF"/>
          </w:tcPr>
          <w:p w14:paraId="1A063F1E" w14:textId="0F91A4B6" w:rsidR="007F38C9" w:rsidRPr="007F38C9" w:rsidRDefault="007F38C9" w:rsidP="00BD5096">
            <w:pPr>
              <w:spacing w:before="60" w:after="60"/>
              <w:jc w:val="center"/>
              <w:rPr>
                <w:rFonts w:ascii="Avenir Heavy Oblique" w:hAnsi="Avenir Heavy Oblique"/>
                <w:b/>
                <w:bCs/>
                <w:i/>
                <w:iCs/>
                <w:color w:val="FFFFFF" w:themeColor="background1"/>
              </w:rPr>
            </w:pPr>
            <w:r>
              <w:rPr>
                <w:rFonts w:ascii="Avenir Heavy Oblique" w:hAnsi="Avenir Heavy Oblique"/>
                <w:b/>
                <w:bCs/>
                <w:i/>
                <w:iCs/>
                <w:color w:val="FFFFFF" w:themeColor="background1"/>
              </w:rPr>
              <w:t>Public Defender Budget (2019)</w:t>
            </w:r>
          </w:p>
        </w:tc>
        <w:tc>
          <w:tcPr>
            <w:tcW w:w="5010" w:type="dxa"/>
            <w:tcBorders>
              <w:right w:val="single" w:sz="24" w:space="0" w:color="91211B"/>
            </w:tcBorders>
          </w:tcPr>
          <w:p w14:paraId="7CB0319E" w14:textId="4861FF3E" w:rsidR="007F38C9" w:rsidRPr="007F38C9" w:rsidRDefault="007F38C9" w:rsidP="00BD5096">
            <w:pPr>
              <w:spacing w:before="60" w:after="60"/>
              <w:jc w:val="center"/>
              <w:rPr>
                <w:rFonts w:ascii="Avenir Book" w:hAnsi="Avenir Book"/>
              </w:rPr>
            </w:pPr>
            <w:r w:rsidRPr="007F38C9">
              <w:rPr>
                <w:rFonts w:ascii="Avenir Book" w:hAnsi="Avenir Book"/>
              </w:rPr>
              <w:t>$5,729,033</w:t>
            </w:r>
          </w:p>
        </w:tc>
      </w:tr>
      <w:tr w:rsidR="007F38C9" w14:paraId="51D2F639" w14:textId="77777777" w:rsidTr="007F38C9">
        <w:tc>
          <w:tcPr>
            <w:tcW w:w="4290" w:type="dxa"/>
            <w:tcBorders>
              <w:left w:val="single" w:sz="24" w:space="0" w:color="91211B"/>
            </w:tcBorders>
            <w:shd w:val="clear" w:color="auto" w:fill="404040" w:themeFill="text1" w:themeFillTint="BF"/>
          </w:tcPr>
          <w:p w14:paraId="742F261A" w14:textId="10BDE06C" w:rsidR="007F38C9" w:rsidRPr="007F38C9" w:rsidRDefault="007F38C9" w:rsidP="00BD5096">
            <w:pPr>
              <w:spacing w:before="60" w:after="60"/>
              <w:jc w:val="center"/>
              <w:rPr>
                <w:rFonts w:ascii="Avenir Heavy Oblique" w:hAnsi="Avenir Heavy Oblique"/>
                <w:b/>
                <w:bCs/>
                <w:i/>
                <w:iCs/>
                <w:color w:val="FFFFFF" w:themeColor="background1"/>
              </w:rPr>
            </w:pPr>
            <w:r>
              <w:rPr>
                <w:rFonts w:ascii="Avenir Heavy Oblique" w:hAnsi="Avenir Heavy Oblique"/>
                <w:b/>
                <w:bCs/>
                <w:i/>
                <w:iCs/>
                <w:color w:val="FFFFFF" w:themeColor="background1"/>
              </w:rPr>
              <w:t>Public Defender Budget (2018)</w:t>
            </w:r>
          </w:p>
        </w:tc>
        <w:tc>
          <w:tcPr>
            <w:tcW w:w="5010" w:type="dxa"/>
            <w:tcBorders>
              <w:right w:val="single" w:sz="24" w:space="0" w:color="91211B"/>
            </w:tcBorders>
          </w:tcPr>
          <w:p w14:paraId="4FD5A2CA" w14:textId="7289BCDF" w:rsidR="007F38C9" w:rsidRPr="007F38C9" w:rsidRDefault="007F38C9" w:rsidP="00BD5096">
            <w:pPr>
              <w:spacing w:before="60" w:after="60"/>
              <w:jc w:val="center"/>
              <w:rPr>
                <w:rFonts w:ascii="Avenir Book" w:hAnsi="Avenir Book"/>
              </w:rPr>
            </w:pPr>
            <w:r w:rsidRPr="007F38C9">
              <w:rPr>
                <w:rFonts w:ascii="Avenir Book" w:hAnsi="Avenir Book"/>
              </w:rPr>
              <w:t>$5,134,840</w:t>
            </w:r>
          </w:p>
        </w:tc>
      </w:tr>
      <w:tr w:rsidR="007F38C9" w14:paraId="540F199A" w14:textId="77777777" w:rsidTr="007F38C9">
        <w:tc>
          <w:tcPr>
            <w:tcW w:w="4290" w:type="dxa"/>
            <w:tcBorders>
              <w:left w:val="single" w:sz="24" w:space="0" w:color="91211B"/>
              <w:bottom w:val="single" w:sz="24" w:space="0" w:color="91211B"/>
            </w:tcBorders>
            <w:shd w:val="clear" w:color="auto" w:fill="404040" w:themeFill="text1" w:themeFillTint="BF"/>
          </w:tcPr>
          <w:p w14:paraId="1B85D612" w14:textId="77777777" w:rsidR="007F38C9" w:rsidRDefault="007F38C9" w:rsidP="007F38C9">
            <w:pPr>
              <w:spacing w:before="100" w:after="100"/>
              <w:jc w:val="center"/>
              <w:rPr>
                <w:rFonts w:ascii="Avenir Heavy Oblique" w:hAnsi="Avenir Heavy Oblique"/>
                <w:b/>
                <w:bCs/>
                <w:i/>
                <w:iCs/>
                <w:color w:val="FFFFFF" w:themeColor="background1"/>
              </w:rPr>
            </w:pPr>
          </w:p>
          <w:p w14:paraId="525A4B65" w14:textId="77777777" w:rsidR="007F38C9" w:rsidRDefault="007F38C9" w:rsidP="007F38C9">
            <w:pPr>
              <w:spacing w:before="100" w:after="100"/>
              <w:jc w:val="center"/>
              <w:rPr>
                <w:rFonts w:ascii="Avenir Heavy Oblique" w:hAnsi="Avenir Heavy Oblique"/>
                <w:b/>
                <w:bCs/>
                <w:i/>
                <w:iCs/>
                <w:color w:val="FFFFFF" w:themeColor="background1"/>
              </w:rPr>
            </w:pPr>
          </w:p>
          <w:p w14:paraId="631A2086" w14:textId="77777777" w:rsidR="007F38C9" w:rsidRDefault="007F38C9" w:rsidP="007F38C9">
            <w:pPr>
              <w:spacing w:before="100" w:after="100"/>
              <w:jc w:val="center"/>
              <w:rPr>
                <w:rFonts w:ascii="Avenir Heavy Oblique" w:hAnsi="Avenir Heavy Oblique"/>
                <w:b/>
                <w:bCs/>
                <w:i/>
                <w:iCs/>
                <w:color w:val="FFFFFF" w:themeColor="background1"/>
              </w:rPr>
            </w:pPr>
          </w:p>
          <w:p w14:paraId="253CD68E" w14:textId="7C5EA97D" w:rsidR="007F38C9" w:rsidRPr="007F38C9" w:rsidRDefault="007F38C9" w:rsidP="007F38C9">
            <w:pPr>
              <w:spacing w:before="100" w:after="100"/>
              <w:jc w:val="center"/>
              <w:rPr>
                <w:rFonts w:ascii="Avenir Heavy Oblique" w:hAnsi="Avenir Heavy Oblique"/>
                <w:b/>
                <w:bCs/>
                <w:i/>
                <w:iCs/>
                <w:color w:val="FFFFFF" w:themeColor="background1"/>
              </w:rPr>
            </w:pPr>
            <w:r>
              <w:rPr>
                <w:rFonts w:ascii="Avenir Heavy Oblique" w:hAnsi="Avenir Heavy Oblique"/>
                <w:b/>
                <w:bCs/>
                <w:i/>
                <w:iCs/>
                <w:color w:val="FFFFFF" w:themeColor="background1"/>
              </w:rPr>
              <w:t>Public Defender Expenses</w:t>
            </w:r>
          </w:p>
        </w:tc>
        <w:tc>
          <w:tcPr>
            <w:tcW w:w="5010" w:type="dxa"/>
            <w:tcBorders>
              <w:bottom w:val="single" w:sz="24" w:space="0" w:color="91211B"/>
              <w:right w:val="single" w:sz="24" w:space="0" w:color="91211B"/>
            </w:tcBorders>
          </w:tcPr>
          <w:p w14:paraId="291F9E90" w14:textId="77777777" w:rsidR="007F38C9" w:rsidRPr="007F38C9" w:rsidRDefault="007F38C9" w:rsidP="007F38C9">
            <w:pPr>
              <w:numPr>
                <w:ilvl w:val="0"/>
                <w:numId w:val="17"/>
              </w:numPr>
              <w:pBdr>
                <w:top w:val="nil"/>
                <w:left w:val="nil"/>
                <w:bottom w:val="nil"/>
                <w:right w:val="nil"/>
                <w:between w:val="nil"/>
              </w:pBdr>
              <w:spacing w:before="120"/>
              <w:ind w:left="331" w:hanging="331"/>
              <w:jc w:val="both"/>
              <w:rPr>
                <w:rFonts w:ascii="Avenir Book" w:hAnsi="Avenir Book"/>
                <w:color w:val="000000"/>
              </w:rPr>
            </w:pPr>
            <w:r w:rsidRPr="007F38C9">
              <w:rPr>
                <w:rFonts w:ascii="Avenir Book" w:hAnsi="Avenir Book"/>
                <w:color w:val="000000"/>
              </w:rPr>
              <w:t>$3,807,087 in salary/wages total</w:t>
            </w:r>
          </w:p>
          <w:p w14:paraId="3D12D55A" w14:textId="77777777" w:rsidR="007F38C9" w:rsidRPr="007F38C9" w:rsidRDefault="007F38C9" w:rsidP="007F38C9">
            <w:pPr>
              <w:numPr>
                <w:ilvl w:val="0"/>
                <w:numId w:val="17"/>
              </w:numPr>
              <w:pBdr>
                <w:top w:val="nil"/>
                <w:left w:val="nil"/>
                <w:bottom w:val="nil"/>
                <w:right w:val="nil"/>
                <w:between w:val="nil"/>
              </w:pBdr>
              <w:ind w:left="337" w:hanging="337"/>
              <w:jc w:val="both"/>
              <w:rPr>
                <w:rFonts w:ascii="Avenir Book" w:hAnsi="Avenir Book"/>
                <w:color w:val="000000"/>
              </w:rPr>
            </w:pPr>
            <w:r w:rsidRPr="007F38C9">
              <w:rPr>
                <w:rFonts w:ascii="Avenir Book" w:hAnsi="Avenir Book"/>
                <w:color w:val="000000"/>
              </w:rPr>
              <w:t>$3,671,160 full-time</w:t>
            </w:r>
          </w:p>
          <w:p w14:paraId="168FABC6" w14:textId="77777777" w:rsidR="007F38C9" w:rsidRPr="007F38C9" w:rsidRDefault="007F38C9" w:rsidP="007F38C9">
            <w:pPr>
              <w:numPr>
                <w:ilvl w:val="0"/>
                <w:numId w:val="17"/>
              </w:numPr>
              <w:pBdr>
                <w:top w:val="nil"/>
                <w:left w:val="nil"/>
                <w:bottom w:val="nil"/>
                <w:right w:val="nil"/>
                <w:between w:val="nil"/>
              </w:pBdr>
              <w:ind w:left="337" w:hanging="337"/>
              <w:jc w:val="both"/>
              <w:rPr>
                <w:rFonts w:ascii="Avenir Book" w:hAnsi="Avenir Book"/>
                <w:color w:val="000000"/>
              </w:rPr>
            </w:pPr>
            <w:r w:rsidRPr="007F38C9">
              <w:rPr>
                <w:rFonts w:ascii="Avenir Book" w:hAnsi="Avenir Book"/>
                <w:color w:val="000000"/>
              </w:rPr>
              <w:t>$94,468 other payroll</w:t>
            </w:r>
          </w:p>
          <w:p w14:paraId="20BD88BF" w14:textId="77777777" w:rsidR="007F38C9" w:rsidRPr="007F38C9" w:rsidRDefault="007F38C9" w:rsidP="007F38C9">
            <w:pPr>
              <w:numPr>
                <w:ilvl w:val="0"/>
                <w:numId w:val="17"/>
              </w:numPr>
              <w:pBdr>
                <w:top w:val="nil"/>
                <w:left w:val="nil"/>
                <w:bottom w:val="nil"/>
                <w:right w:val="nil"/>
                <w:between w:val="nil"/>
              </w:pBdr>
              <w:ind w:left="337" w:hanging="337"/>
              <w:jc w:val="both"/>
              <w:rPr>
                <w:rFonts w:ascii="Avenir Book" w:hAnsi="Avenir Book"/>
                <w:color w:val="000000"/>
              </w:rPr>
            </w:pPr>
            <w:r w:rsidRPr="007F38C9">
              <w:rPr>
                <w:rFonts w:ascii="Avenir Book" w:hAnsi="Avenir Book"/>
                <w:color w:val="000000"/>
              </w:rPr>
              <w:t>$41,450 part-time</w:t>
            </w:r>
          </w:p>
          <w:p w14:paraId="2233DB9C" w14:textId="77777777" w:rsidR="007F38C9" w:rsidRPr="007F38C9" w:rsidRDefault="007F38C9" w:rsidP="007F38C9">
            <w:pPr>
              <w:numPr>
                <w:ilvl w:val="0"/>
                <w:numId w:val="17"/>
              </w:numPr>
              <w:pBdr>
                <w:top w:val="nil"/>
                <w:left w:val="nil"/>
                <w:bottom w:val="nil"/>
                <w:right w:val="nil"/>
                <w:between w:val="nil"/>
              </w:pBdr>
              <w:ind w:left="337" w:hanging="337"/>
              <w:jc w:val="both"/>
              <w:rPr>
                <w:rFonts w:ascii="Avenir Book" w:hAnsi="Avenir Book"/>
                <w:color w:val="000000"/>
              </w:rPr>
            </w:pPr>
            <w:r w:rsidRPr="007F38C9">
              <w:rPr>
                <w:rFonts w:ascii="Avenir Book" w:hAnsi="Avenir Book"/>
                <w:color w:val="000000"/>
              </w:rPr>
              <w:t>$1,430,156 in benefits</w:t>
            </w:r>
          </w:p>
          <w:p w14:paraId="3A7CA971" w14:textId="77777777" w:rsidR="007F38C9" w:rsidRPr="007F38C9" w:rsidRDefault="007F38C9" w:rsidP="007F38C9">
            <w:pPr>
              <w:numPr>
                <w:ilvl w:val="0"/>
                <w:numId w:val="17"/>
              </w:numPr>
              <w:pBdr>
                <w:top w:val="nil"/>
                <w:left w:val="nil"/>
                <w:bottom w:val="nil"/>
                <w:right w:val="nil"/>
                <w:between w:val="nil"/>
              </w:pBdr>
              <w:ind w:left="337" w:hanging="337"/>
              <w:jc w:val="both"/>
              <w:rPr>
                <w:rFonts w:ascii="Avenir Book" w:hAnsi="Avenir Book"/>
                <w:color w:val="000000"/>
              </w:rPr>
            </w:pPr>
            <w:r w:rsidRPr="007F38C9">
              <w:rPr>
                <w:rFonts w:ascii="Avenir Book" w:hAnsi="Avenir Book"/>
                <w:color w:val="000000"/>
              </w:rPr>
              <w:t>$275,000 in contracted SRV/ provider SRV</w:t>
            </w:r>
          </w:p>
          <w:p w14:paraId="5B7D2F9D" w14:textId="77777777" w:rsidR="007F38C9" w:rsidRPr="007F38C9" w:rsidRDefault="007F38C9" w:rsidP="007F38C9">
            <w:pPr>
              <w:numPr>
                <w:ilvl w:val="0"/>
                <w:numId w:val="17"/>
              </w:numPr>
              <w:pBdr>
                <w:top w:val="nil"/>
                <w:left w:val="nil"/>
                <w:bottom w:val="nil"/>
                <w:right w:val="nil"/>
                <w:between w:val="nil"/>
              </w:pBdr>
              <w:ind w:left="337" w:hanging="337"/>
              <w:jc w:val="both"/>
              <w:rPr>
                <w:rFonts w:ascii="Avenir Book" w:hAnsi="Avenir Book"/>
                <w:color w:val="000000"/>
              </w:rPr>
            </w:pPr>
            <w:r w:rsidRPr="007F38C9">
              <w:rPr>
                <w:rFonts w:ascii="Avenir Book" w:hAnsi="Avenir Book"/>
                <w:color w:val="000000"/>
              </w:rPr>
              <w:t>$167,894 in maintenance</w:t>
            </w:r>
          </w:p>
          <w:p w14:paraId="6C987286" w14:textId="77777777" w:rsidR="007F38C9" w:rsidRPr="007F38C9" w:rsidRDefault="007F38C9" w:rsidP="007F38C9">
            <w:pPr>
              <w:numPr>
                <w:ilvl w:val="0"/>
                <w:numId w:val="17"/>
              </w:numPr>
              <w:pBdr>
                <w:top w:val="nil"/>
                <w:left w:val="nil"/>
                <w:bottom w:val="nil"/>
                <w:right w:val="nil"/>
                <w:between w:val="nil"/>
              </w:pBdr>
              <w:ind w:left="337" w:hanging="337"/>
              <w:jc w:val="both"/>
              <w:rPr>
                <w:rFonts w:ascii="Avenir Book" w:hAnsi="Avenir Book"/>
                <w:color w:val="000000"/>
              </w:rPr>
            </w:pPr>
            <w:r w:rsidRPr="007F38C9">
              <w:rPr>
                <w:rFonts w:ascii="Avenir Book" w:hAnsi="Avenir Book"/>
                <w:color w:val="000000"/>
              </w:rPr>
              <w:t>$61,200 in general supplies</w:t>
            </w:r>
          </w:p>
          <w:p w14:paraId="2F6E6C60" w14:textId="77777777" w:rsidR="007F38C9" w:rsidRPr="007F38C9" w:rsidRDefault="007F38C9" w:rsidP="007F38C9">
            <w:pPr>
              <w:numPr>
                <w:ilvl w:val="0"/>
                <w:numId w:val="17"/>
              </w:numPr>
              <w:pBdr>
                <w:top w:val="nil"/>
                <w:left w:val="nil"/>
                <w:bottom w:val="nil"/>
                <w:right w:val="nil"/>
                <w:between w:val="nil"/>
              </w:pBdr>
              <w:ind w:left="337" w:hanging="337"/>
              <w:jc w:val="both"/>
              <w:rPr>
                <w:rFonts w:ascii="Avenir Book" w:hAnsi="Avenir Book"/>
                <w:color w:val="000000"/>
              </w:rPr>
            </w:pPr>
            <w:r w:rsidRPr="007F38C9">
              <w:rPr>
                <w:rFonts w:ascii="Avenir Book" w:hAnsi="Avenir Book"/>
                <w:color w:val="000000"/>
              </w:rPr>
              <w:t>$53,000 in travel and training</w:t>
            </w:r>
          </w:p>
          <w:p w14:paraId="53019EA1" w14:textId="77777777" w:rsidR="007F38C9" w:rsidRDefault="007F38C9" w:rsidP="007F38C9">
            <w:pPr>
              <w:numPr>
                <w:ilvl w:val="0"/>
                <w:numId w:val="17"/>
              </w:numPr>
              <w:pBdr>
                <w:top w:val="nil"/>
                <w:left w:val="nil"/>
                <w:bottom w:val="nil"/>
                <w:right w:val="nil"/>
                <w:between w:val="nil"/>
              </w:pBdr>
              <w:ind w:left="337" w:hanging="337"/>
              <w:jc w:val="both"/>
              <w:rPr>
                <w:rFonts w:ascii="Avenir Book" w:hAnsi="Avenir Book"/>
                <w:color w:val="000000"/>
              </w:rPr>
            </w:pPr>
            <w:r w:rsidRPr="007F38C9">
              <w:rPr>
                <w:rFonts w:ascii="Avenir Book" w:hAnsi="Avenir Book"/>
                <w:color w:val="000000"/>
              </w:rPr>
              <w:t>$15,460 in utilities</w:t>
            </w:r>
          </w:p>
          <w:p w14:paraId="29FFC401" w14:textId="0C69D449" w:rsidR="007F38C9" w:rsidRPr="007F38C9" w:rsidRDefault="007F38C9" w:rsidP="007F38C9">
            <w:pPr>
              <w:numPr>
                <w:ilvl w:val="0"/>
                <w:numId w:val="17"/>
              </w:numPr>
              <w:pBdr>
                <w:top w:val="nil"/>
                <w:left w:val="nil"/>
                <w:bottom w:val="nil"/>
                <w:right w:val="nil"/>
                <w:between w:val="nil"/>
              </w:pBdr>
              <w:spacing w:after="120"/>
              <w:ind w:left="331" w:hanging="331"/>
              <w:jc w:val="both"/>
              <w:rPr>
                <w:rFonts w:ascii="Avenir Book" w:hAnsi="Avenir Book"/>
                <w:color w:val="000000"/>
              </w:rPr>
            </w:pPr>
            <w:r w:rsidRPr="007F38C9">
              <w:rPr>
                <w:rFonts w:ascii="Avenir Book" w:hAnsi="Avenir Book"/>
                <w:color w:val="000000"/>
              </w:rPr>
              <w:t>$7,100 in general expenses</w:t>
            </w:r>
          </w:p>
        </w:tc>
      </w:tr>
    </w:tbl>
    <w:p w14:paraId="02CEE3BA" w14:textId="77777777" w:rsidR="00987E1A" w:rsidRDefault="00987E1A" w:rsidP="000366F8">
      <w:pPr>
        <w:spacing w:line="480" w:lineRule="auto"/>
        <w:jc w:val="both"/>
      </w:pPr>
    </w:p>
    <w:p w14:paraId="00527BDC" w14:textId="667DCA83" w:rsidR="000366F8" w:rsidRPr="000366F8" w:rsidRDefault="000E2E79" w:rsidP="000366F8">
      <w:pPr>
        <w:spacing w:line="480" w:lineRule="auto"/>
        <w:jc w:val="both"/>
      </w:pPr>
      <w:r>
        <w:rPr>
          <w:noProof/>
          <w:sz w:val="10"/>
          <w:szCs w:val="10"/>
        </w:rPr>
        <w:pict w14:anchorId="745FF41B">
          <v:rect id="_x0000_i1041" alt="" style="width:468pt;height:.05pt;mso-width-percent:0;mso-height-percent:0;mso-width-percent:0;mso-height-percent:0" o:hralign="center" o:hrstd="t" o:hr="t" fillcolor="#a0a0a0" stroked="f"/>
        </w:pict>
      </w:r>
    </w:p>
    <w:p w14:paraId="00A574C8" w14:textId="77777777" w:rsidR="00987E1A" w:rsidRDefault="00987E1A" w:rsidP="00987E1A">
      <w:pPr>
        <w:spacing w:line="360" w:lineRule="auto"/>
        <w:jc w:val="both"/>
        <w:rPr>
          <w:rFonts w:ascii="Avenir Book" w:hAnsi="Avenir Book"/>
        </w:rPr>
      </w:pPr>
    </w:p>
    <w:p w14:paraId="0E717A89" w14:textId="214F776E" w:rsidR="007A2419" w:rsidRPr="000366F8" w:rsidRDefault="007A3F17" w:rsidP="003F1B4B">
      <w:pPr>
        <w:spacing w:line="360" w:lineRule="auto"/>
        <w:ind w:firstLine="720"/>
        <w:jc w:val="both"/>
        <w:rPr>
          <w:rFonts w:ascii="Avenir Book" w:hAnsi="Avenir Book"/>
        </w:rPr>
      </w:pPr>
      <w:r w:rsidRPr="007F38C9">
        <w:rPr>
          <w:rFonts w:ascii="Avenir Book" w:hAnsi="Avenir Book"/>
        </w:rPr>
        <w:t xml:space="preserve">The </w:t>
      </w:r>
      <w:r w:rsidR="007F2733" w:rsidRPr="007F38C9">
        <w:rPr>
          <w:rFonts w:ascii="Avenir Book" w:hAnsi="Avenir Book"/>
        </w:rPr>
        <w:t>allocation</w:t>
      </w:r>
      <w:r w:rsidRPr="007F38C9">
        <w:rPr>
          <w:rFonts w:ascii="Avenir Book" w:hAnsi="Avenir Book"/>
        </w:rPr>
        <w:t xml:space="preserve"> for Office of the Public Defender </w:t>
      </w:r>
      <w:r w:rsidR="007F2733" w:rsidRPr="007F38C9">
        <w:rPr>
          <w:rFonts w:ascii="Avenir Book" w:hAnsi="Avenir Book"/>
        </w:rPr>
        <w:t>has been steadily increasing over recent budget cycles</w:t>
      </w:r>
      <w:r w:rsidRPr="007F38C9">
        <w:rPr>
          <w:rFonts w:ascii="Avenir Book" w:hAnsi="Avenir Book"/>
        </w:rPr>
        <w:t xml:space="preserve">, from $5,134,840 in 2018 </w:t>
      </w:r>
      <w:r w:rsidR="007F2733" w:rsidRPr="007F38C9">
        <w:rPr>
          <w:rFonts w:ascii="Avenir Book" w:hAnsi="Avenir Book"/>
        </w:rPr>
        <w:t>to</w:t>
      </w:r>
      <w:r w:rsidRPr="007F38C9">
        <w:rPr>
          <w:rFonts w:ascii="Avenir Book" w:hAnsi="Avenir Book"/>
        </w:rPr>
        <w:t xml:space="preserve"> $5,729,033 in 2019.</w:t>
      </w:r>
      <w:r w:rsidRPr="007F38C9">
        <w:rPr>
          <w:rFonts w:ascii="Avenir Book" w:hAnsi="Avenir Book"/>
          <w:vertAlign w:val="superscript"/>
        </w:rPr>
        <w:endnoteReference w:id="57"/>
      </w:r>
      <w:r w:rsidRPr="007F38C9">
        <w:rPr>
          <w:rFonts w:ascii="Avenir Book" w:hAnsi="Avenir Book"/>
        </w:rPr>
        <w:t xml:space="preserve"> The proposed 2021 budget for the Office is $6,527,981.</w:t>
      </w:r>
      <w:r w:rsidRPr="007F38C9">
        <w:rPr>
          <w:rFonts w:ascii="Avenir Book" w:hAnsi="Avenir Book"/>
          <w:vertAlign w:val="superscript"/>
        </w:rPr>
        <w:endnoteReference w:id="58"/>
      </w:r>
    </w:p>
    <w:p w14:paraId="76CC934B" w14:textId="348A29A9" w:rsidR="000F6C1C" w:rsidRDefault="007A2419" w:rsidP="00987E1A">
      <w:pPr>
        <w:spacing w:line="480" w:lineRule="auto"/>
        <w:ind w:left="-720"/>
        <w:jc w:val="center"/>
      </w:pPr>
      <w:r>
        <w:rPr>
          <w:noProof/>
        </w:rPr>
        <w:lastRenderedPageBreak/>
        <w:drawing>
          <wp:inline distT="0" distB="0" distL="0" distR="0" wp14:anchorId="4E361D18" wp14:editId="7C23EBBC">
            <wp:extent cx="6765787" cy="3406140"/>
            <wp:effectExtent l="12700" t="12700" r="29210" b="2286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F89C5F3" w14:textId="7EF60131" w:rsidR="000366F8" w:rsidRDefault="000366F8" w:rsidP="000366F8">
      <w:pPr>
        <w:spacing w:line="480" w:lineRule="auto"/>
        <w:jc w:val="both"/>
      </w:pPr>
      <w:bookmarkStart w:id="10" w:name="_Toc62730365"/>
    </w:p>
    <w:p w14:paraId="4F924CD8" w14:textId="40327DBD" w:rsidR="000F6C1C" w:rsidRDefault="000F6C1C" w:rsidP="001161E1">
      <w:pPr>
        <w:pStyle w:val="Head3"/>
      </w:pPr>
      <w:r>
        <w:t>The Montgomery County Office of the Public Defender</w:t>
      </w:r>
      <w:bookmarkEnd w:id="10"/>
    </w:p>
    <w:p w14:paraId="3A9AD0DD" w14:textId="495A3F3E" w:rsidR="000F6C1C" w:rsidRPr="00BD5096" w:rsidRDefault="000E2E79" w:rsidP="00BD5096">
      <w:pPr>
        <w:spacing w:line="360" w:lineRule="auto"/>
        <w:ind w:firstLine="720"/>
        <w:jc w:val="both"/>
        <w:rPr>
          <w:rFonts w:ascii="Avenir Book" w:hAnsi="Avenir Book"/>
        </w:rPr>
      </w:pPr>
      <w:sdt>
        <w:sdtPr>
          <w:rPr>
            <w:rFonts w:ascii="Avenir Book" w:hAnsi="Avenir Book"/>
          </w:rPr>
          <w:tag w:val="goog_rdk_49"/>
          <w:id w:val="-63030673"/>
          <w:showingPlcHdr/>
        </w:sdtPr>
        <w:sdtEndPr/>
        <w:sdtContent>
          <w:r w:rsidR="007F38C9" w:rsidRPr="00BD5096">
            <w:rPr>
              <w:rFonts w:ascii="Avenir Book" w:hAnsi="Avenir Book"/>
            </w:rPr>
            <w:t xml:space="preserve">     </w:t>
          </w:r>
        </w:sdtContent>
      </w:sdt>
      <w:r w:rsidR="000F6C1C" w:rsidRPr="00BD5096">
        <w:rPr>
          <w:rFonts w:ascii="Avenir Book" w:hAnsi="Avenir Book"/>
        </w:rPr>
        <w:t xml:space="preserve">The Montgomery County Office of the Public Defender has approximately sixty-six full-time employees, including supervisors, staff attorneys, </w:t>
      </w:r>
      <w:r w:rsidR="009A7B2B">
        <w:rPr>
          <w:rFonts w:ascii="Avenir Book" w:hAnsi="Avenir Book"/>
        </w:rPr>
        <w:t xml:space="preserve">paralegals, </w:t>
      </w:r>
      <w:r w:rsidR="000F6C1C" w:rsidRPr="00BD5096">
        <w:rPr>
          <w:rFonts w:ascii="Avenir Book" w:hAnsi="Avenir Book"/>
        </w:rPr>
        <w:t>administrative staff, and investigators.</w:t>
      </w:r>
      <w:r w:rsidR="000F6C1C" w:rsidRPr="00BD5096">
        <w:rPr>
          <w:rFonts w:ascii="Avenir Book" w:hAnsi="Avenir Book"/>
          <w:vertAlign w:val="superscript"/>
        </w:rPr>
        <w:endnoteReference w:id="59"/>
      </w:r>
      <w:sdt>
        <w:sdtPr>
          <w:rPr>
            <w:rFonts w:ascii="Avenir Book" w:hAnsi="Avenir Book"/>
          </w:rPr>
          <w:tag w:val="goog_rdk_50"/>
          <w:id w:val="255096862"/>
        </w:sdtPr>
        <w:sdtEndPr/>
        <w:sdtContent/>
      </w:sdt>
      <w:r w:rsidR="007F2733" w:rsidRPr="00BD5096">
        <w:rPr>
          <w:rFonts w:ascii="Avenir Book" w:hAnsi="Avenir Book"/>
        </w:rPr>
        <w:t xml:space="preserve"> The O</w:t>
      </w:r>
      <w:r w:rsidR="000F6C1C" w:rsidRPr="00BD5096">
        <w:rPr>
          <w:rFonts w:ascii="Avenir Book" w:hAnsi="Avenir Book"/>
        </w:rPr>
        <w:t xml:space="preserve">ffice </w:t>
      </w:r>
      <w:r w:rsidR="007F2733" w:rsidRPr="00BD5096">
        <w:rPr>
          <w:rFonts w:ascii="Avenir Book" w:hAnsi="Avenir Book"/>
        </w:rPr>
        <w:t>has</w:t>
      </w:r>
      <w:r w:rsidR="000F6C1C" w:rsidRPr="00BD5096">
        <w:rPr>
          <w:rFonts w:ascii="Avenir Book" w:hAnsi="Avenir Book"/>
        </w:rPr>
        <w:t xml:space="preserve"> an Adult Criminal Division</w:t>
      </w:r>
      <w:r w:rsidR="009A7B2B">
        <w:rPr>
          <w:rFonts w:ascii="Avenir Book" w:hAnsi="Avenir Book"/>
        </w:rPr>
        <w:t xml:space="preserve"> –</w:t>
      </w:r>
      <w:r w:rsidR="000F6C1C" w:rsidRPr="00BD5096">
        <w:rPr>
          <w:rFonts w:ascii="Avenir Book" w:hAnsi="Avenir Book"/>
        </w:rPr>
        <w:t xml:space="preserve"> within which are Pretrial, Trial, and Homicide Units</w:t>
      </w:r>
      <w:r w:rsidR="009A7B2B">
        <w:rPr>
          <w:rFonts w:ascii="Avenir Book" w:hAnsi="Avenir Book"/>
        </w:rPr>
        <w:t xml:space="preserve"> – and </w:t>
      </w:r>
      <w:r w:rsidR="009A7B2B" w:rsidRPr="00BD5096">
        <w:rPr>
          <w:rFonts w:ascii="Avenir Book" w:hAnsi="Avenir Book"/>
        </w:rPr>
        <w:t>a Juvenile Advocacy Division.</w:t>
      </w:r>
      <w:r w:rsidR="000F6C1C" w:rsidRPr="00BD5096">
        <w:rPr>
          <w:rFonts w:ascii="Avenir Book" w:hAnsi="Avenir Book"/>
          <w:vertAlign w:val="superscript"/>
        </w:rPr>
        <w:endnoteReference w:id="60"/>
      </w:r>
      <w:r w:rsidR="000F6C1C" w:rsidRPr="00BD5096">
        <w:rPr>
          <w:rFonts w:ascii="Avenir Book" w:hAnsi="Avenir Book"/>
        </w:rPr>
        <w:t xml:space="preserve"> </w:t>
      </w:r>
      <w:r w:rsidR="007F2733" w:rsidRPr="00BD5096">
        <w:rPr>
          <w:rFonts w:ascii="Avenir Book" w:hAnsi="Avenir Book"/>
        </w:rPr>
        <w:t xml:space="preserve">The </w:t>
      </w:r>
      <w:r w:rsidR="009A7B2B">
        <w:rPr>
          <w:rFonts w:ascii="Avenir Book" w:hAnsi="Avenir Book"/>
        </w:rPr>
        <w:t>O</w:t>
      </w:r>
      <w:r w:rsidR="007F2733" w:rsidRPr="00BD5096">
        <w:rPr>
          <w:rFonts w:ascii="Avenir Book" w:hAnsi="Avenir Book"/>
        </w:rPr>
        <w:t>ffice also has a Social Services Unit.</w:t>
      </w:r>
      <w:r w:rsidR="007F2733" w:rsidRPr="00BD5096">
        <w:rPr>
          <w:rFonts w:ascii="Avenir Book" w:hAnsi="Avenir Book"/>
          <w:vertAlign w:val="superscript"/>
        </w:rPr>
        <w:endnoteReference w:id="61"/>
      </w:r>
      <w:r w:rsidR="007F2733" w:rsidRPr="00BD5096">
        <w:rPr>
          <w:rFonts w:ascii="Avenir Book" w:hAnsi="Avenir Book"/>
        </w:rPr>
        <w:t xml:space="preserve"> The Office, as a whole, is</w:t>
      </w:r>
      <w:r w:rsidR="000F6C1C" w:rsidRPr="00BD5096">
        <w:rPr>
          <w:rFonts w:ascii="Avenir Book" w:hAnsi="Avenir Book"/>
        </w:rPr>
        <w:t xml:space="preserve"> involved in community efforts such as the Criminal Record Expungement Clinic, Youth Sentencing and Re-entry Project, and Participatory Defense</w:t>
      </w:r>
      <w:r w:rsidR="009A7B2B">
        <w:rPr>
          <w:rFonts w:ascii="Avenir Book" w:hAnsi="Avenir Book"/>
        </w:rPr>
        <w:t xml:space="preserve"> outreach</w:t>
      </w:r>
      <w:r w:rsidR="000F6C1C" w:rsidRPr="00BD5096">
        <w:rPr>
          <w:rFonts w:ascii="Avenir Book" w:hAnsi="Avenir Book"/>
        </w:rPr>
        <w:t xml:space="preserve">. </w:t>
      </w:r>
    </w:p>
    <w:p w14:paraId="604B7252" w14:textId="4DC151D4" w:rsidR="000F6C1C" w:rsidRPr="00BD5096" w:rsidRDefault="00EF5AAA" w:rsidP="00BD5096">
      <w:pPr>
        <w:spacing w:line="360" w:lineRule="auto"/>
        <w:ind w:firstLine="720"/>
        <w:jc w:val="both"/>
        <w:rPr>
          <w:rFonts w:ascii="Avenir Book" w:hAnsi="Avenir Book"/>
        </w:rPr>
      </w:pPr>
      <w:r w:rsidRPr="00BD5096">
        <w:rPr>
          <w:rFonts w:ascii="Avenir Book" w:hAnsi="Avenir Book"/>
        </w:rPr>
        <w:t>Legal staff at the Office are</w:t>
      </w:r>
      <w:r w:rsidR="000F6C1C" w:rsidRPr="00BD5096">
        <w:rPr>
          <w:rFonts w:ascii="Avenir Book" w:hAnsi="Avenir Book"/>
        </w:rPr>
        <w:t xml:space="preserve"> required to undergo various internal training programs. There is a one-week orientation given to new staff members, which provides an overview of the Office of the Public Defender as well as the Montgomery County </w:t>
      </w:r>
      <w:r w:rsidR="009A7B2B">
        <w:rPr>
          <w:rFonts w:ascii="Avenir Book" w:hAnsi="Avenir Book"/>
        </w:rPr>
        <w:t>c</w:t>
      </w:r>
      <w:r w:rsidR="000F6C1C" w:rsidRPr="00BD5096">
        <w:rPr>
          <w:rFonts w:ascii="Avenir Book" w:hAnsi="Avenir Book"/>
        </w:rPr>
        <w:t xml:space="preserve">riminal </w:t>
      </w:r>
      <w:r w:rsidR="009A7B2B">
        <w:rPr>
          <w:rFonts w:ascii="Avenir Book" w:hAnsi="Avenir Book"/>
        </w:rPr>
        <w:t>l</w:t>
      </w:r>
      <w:r w:rsidR="000F6C1C" w:rsidRPr="00BD5096">
        <w:rPr>
          <w:rFonts w:ascii="Avenir Book" w:hAnsi="Avenir Book"/>
        </w:rPr>
        <w:t xml:space="preserve">egal </w:t>
      </w:r>
      <w:r w:rsidR="009A7B2B">
        <w:rPr>
          <w:rFonts w:ascii="Avenir Book" w:hAnsi="Avenir Book"/>
        </w:rPr>
        <w:t>s</w:t>
      </w:r>
      <w:r w:rsidR="000F6C1C" w:rsidRPr="00BD5096">
        <w:rPr>
          <w:rFonts w:ascii="Avenir Book" w:hAnsi="Avenir Book"/>
        </w:rPr>
        <w:t>ystem.</w:t>
      </w:r>
      <w:r w:rsidR="000F6C1C" w:rsidRPr="00BD5096">
        <w:rPr>
          <w:rFonts w:ascii="Avenir Book" w:hAnsi="Avenir Book"/>
          <w:vertAlign w:val="superscript"/>
        </w:rPr>
        <w:endnoteReference w:id="62"/>
      </w:r>
      <w:r w:rsidR="000F6C1C" w:rsidRPr="00BD5096">
        <w:rPr>
          <w:rFonts w:ascii="Avenir Book" w:hAnsi="Avenir Book"/>
        </w:rPr>
        <w:t xml:space="preserve"> Additionally, each new at</w:t>
      </w:r>
      <w:r w:rsidRPr="00BD5096">
        <w:rPr>
          <w:rFonts w:ascii="Avenir Book" w:hAnsi="Avenir Book"/>
        </w:rPr>
        <w:t>torney is required to join the O</w:t>
      </w:r>
      <w:r w:rsidR="000F6C1C" w:rsidRPr="00BD5096">
        <w:rPr>
          <w:rFonts w:ascii="Avenir Book" w:hAnsi="Avenir Book"/>
        </w:rPr>
        <w:t xml:space="preserve">ffice’s young lawyers group that meets twice per month to give attorneys an opportunity to </w:t>
      </w:r>
      <w:r w:rsidR="000F6C1C" w:rsidRPr="00BD5096">
        <w:rPr>
          <w:rFonts w:ascii="Avenir Book" w:hAnsi="Avenir Book"/>
        </w:rPr>
        <w:lastRenderedPageBreak/>
        <w:t>discuss cases, effective trial strategies, and techniques.</w:t>
      </w:r>
      <w:r w:rsidR="000F6C1C" w:rsidRPr="00BD5096">
        <w:rPr>
          <w:rFonts w:ascii="Avenir Book" w:hAnsi="Avenir Book"/>
          <w:vertAlign w:val="superscript"/>
        </w:rPr>
        <w:endnoteReference w:id="63"/>
      </w:r>
      <w:r w:rsidR="000F6C1C" w:rsidRPr="00BD5096">
        <w:rPr>
          <w:rFonts w:ascii="Avenir Book" w:hAnsi="Avenir Book"/>
        </w:rPr>
        <w:t xml:space="preserve"> </w:t>
      </w:r>
      <w:r w:rsidRPr="00BD5096">
        <w:rPr>
          <w:rFonts w:ascii="Avenir Book" w:hAnsi="Avenir Book"/>
        </w:rPr>
        <w:t>The O</w:t>
      </w:r>
      <w:r w:rsidR="000F6C1C" w:rsidRPr="00BD5096">
        <w:rPr>
          <w:rFonts w:ascii="Avenir Book" w:hAnsi="Avenir Book"/>
        </w:rPr>
        <w:t>ffice also hosts monthly brown bag lunches to facilitate brainstorming between new and experienced attorneys.</w:t>
      </w:r>
      <w:r w:rsidR="000F6C1C" w:rsidRPr="00BD5096">
        <w:rPr>
          <w:rFonts w:ascii="Avenir Book" w:hAnsi="Avenir Book"/>
          <w:vertAlign w:val="superscript"/>
        </w:rPr>
        <w:endnoteReference w:id="64"/>
      </w:r>
      <w:r w:rsidR="000F6C1C" w:rsidRPr="00BD5096">
        <w:rPr>
          <w:rFonts w:ascii="Avenir Book" w:hAnsi="Avenir Book"/>
        </w:rPr>
        <w:t xml:space="preserve"> Further, attorneys are periodically required to submit a case for review to a committee composed of “seasoned attorneys.”</w:t>
      </w:r>
      <w:r w:rsidR="000F6C1C" w:rsidRPr="00BD5096">
        <w:rPr>
          <w:rFonts w:ascii="Avenir Book" w:hAnsi="Avenir Book"/>
          <w:vertAlign w:val="superscript"/>
        </w:rPr>
        <w:endnoteReference w:id="65"/>
      </w:r>
      <w:r w:rsidR="000F6C1C" w:rsidRPr="00BD5096">
        <w:rPr>
          <w:rFonts w:ascii="Avenir Book" w:hAnsi="Avenir Book"/>
        </w:rPr>
        <w:t xml:space="preserve"> </w:t>
      </w:r>
    </w:p>
    <w:p w14:paraId="496D8AEE" w14:textId="77777777" w:rsidR="000F6C1C" w:rsidRPr="00BD5096" w:rsidRDefault="000F6C1C" w:rsidP="00BD5096">
      <w:pPr>
        <w:spacing w:line="360" w:lineRule="auto"/>
        <w:ind w:firstLine="720"/>
        <w:jc w:val="both"/>
        <w:rPr>
          <w:rFonts w:ascii="Avenir Book" w:hAnsi="Avenir Book"/>
        </w:rPr>
      </w:pPr>
      <w:r w:rsidRPr="00BD5096">
        <w:rPr>
          <w:rFonts w:ascii="Avenir Book" w:hAnsi="Avenir Book"/>
        </w:rPr>
        <w:t>In addition to completing CLE credits req</w:t>
      </w:r>
      <w:r w:rsidR="00EF5AAA" w:rsidRPr="00BD5096">
        <w:rPr>
          <w:rFonts w:ascii="Avenir Book" w:hAnsi="Avenir Book"/>
        </w:rPr>
        <w:t>uired by the Commonwealth, the O</w:t>
      </w:r>
      <w:r w:rsidRPr="00BD5096">
        <w:rPr>
          <w:rFonts w:ascii="Avenir Book" w:hAnsi="Avenir Book"/>
        </w:rPr>
        <w:t>ffice has offered a one-week skills training to teach various trial skills.</w:t>
      </w:r>
      <w:r w:rsidRPr="00BD5096">
        <w:rPr>
          <w:rFonts w:ascii="Avenir Book" w:hAnsi="Avenir Book"/>
          <w:vertAlign w:val="superscript"/>
        </w:rPr>
        <w:endnoteReference w:id="66"/>
      </w:r>
      <w:r w:rsidRPr="00BD5096">
        <w:rPr>
          <w:rFonts w:ascii="Avenir Book" w:hAnsi="Avenir Book"/>
        </w:rPr>
        <w:t xml:space="preserve"> Lastly, the </w:t>
      </w:r>
      <w:sdt>
        <w:sdtPr>
          <w:rPr>
            <w:rFonts w:ascii="Avenir Book" w:hAnsi="Avenir Book"/>
          </w:rPr>
          <w:tag w:val="goog_rdk_54"/>
          <w:id w:val="1991440221"/>
        </w:sdtPr>
        <w:sdtEndPr/>
        <w:sdtContent/>
      </w:sdt>
      <w:r w:rsidRPr="00BD5096">
        <w:rPr>
          <w:rFonts w:ascii="Avenir Book" w:hAnsi="Avenir Book"/>
        </w:rPr>
        <w:t xml:space="preserve">Public Defender Office </w:t>
      </w:r>
      <w:r w:rsidR="00EF5AAA" w:rsidRPr="00BD5096">
        <w:rPr>
          <w:rFonts w:ascii="Avenir Book" w:hAnsi="Avenir Book"/>
        </w:rPr>
        <w:t>provides an opportunity for some</w:t>
      </w:r>
      <w:r w:rsidRPr="00BD5096">
        <w:rPr>
          <w:rFonts w:ascii="Avenir Book" w:hAnsi="Avenir Book"/>
        </w:rPr>
        <w:t xml:space="preserve"> attorneys to attend the new attorney training </w:t>
      </w:r>
      <w:r w:rsidR="00EF5AAA" w:rsidRPr="00BD5096">
        <w:rPr>
          <w:rFonts w:ascii="Avenir Book" w:hAnsi="Avenir Book"/>
        </w:rPr>
        <w:t>with</w:t>
      </w:r>
      <w:r w:rsidRPr="00BD5096">
        <w:rPr>
          <w:rFonts w:ascii="Avenir Book" w:hAnsi="Avenir Book"/>
        </w:rPr>
        <w:t xml:space="preserve"> the Gideon’s Promise Partnership, a three-year training curriculum “designed to provide new public defenders the skills and knowledge necessary to become excellent advocates for those they represent.”</w:t>
      </w:r>
      <w:r w:rsidRPr="00BD5096">
        <w:rPr>
          <w:rFonts w:ascii="Avenir Book" w:hAnsi="Avenir Book"/>
          <w:vertAlign w:val="superscript"/>
        </w:rPr>
        <w:endnoteReference w:id="67"/>
      </w:r>
      <w:r w:rsidRPr="00BD5096">
        <w:rPr>
          <w:rFonts w:ascii="Avenir Book" w:hAnsi="Avenir Book"/>
        </w:rPr>
        <w:t xml:space="preserve"> </w:t>
      </w:r>
    </w:p>
    <w:p w14:paraId="0A77AFD2" w14:textId="4D0DF202" w:rsidR="00C40737" w:rsidRPr="00BD5096" w:rsidRDefault="00A475A8" w:rsidP="00BD5096">
      <w:pPr>
        <w:spacing w:line="360" w:lineRule="auto"/>
        <w:ind w:firstLine="720"/>
        <w:jc w:val="both"/>
        <w:rPr>
          <w:rFonts w:ascii="Avenir Book" w:hAnsi="Avenir Book"/>
        </w:rPr>
      </w:pPr>
      <w:r w:rsidRPr="00BD5096">
        <w:rPr>
          <w:rFonts w:ascii="Avenir Book" w:hAnsi="Avenir Book"/>
        </w:rPr>
        <w:t xml:space="preserve">Line attorneys in the </w:t>
      </w:r>
      <w:r w:rsidR="009A7B2B">
        <w:rPr>
          <w:rFonts w:ascii="Avenir Book" w:hAnsi="Avenir Book"/>
        </w:rPr>
        <w:t>O</w:t>
      </w:r>
      <w:r w:rsidRPr="00BD5096">
        <w:rPr>
          <w:rFonts w:ascii="Avenir Book" w:hAnsi="Avenir Book"/>
        </w:rPr>
        <w:t xml:space="preserve">ffice are assigned to “trial teams,” each of which is supervised by a “team leader.” Each trial team is assigned to a particular judge’s courtroom for a </w:t>
      </w:r>
      <w:r w:rsidR="00FF58EE" w:rsidRPr="00BD5096">
        <w:rPr>
          <w:rFonts w:ascii="Avenir Book" w:hAnsi="Avenir Book"/>
        </w:rPr>
        <w:t xml:space="preserve">specified </w:t>
      </w:r>
      <w:r w:rsidRPr="00BD5096">
        <w:rPr>
          <w:rFonts w:ascii="Avenir Book" w:hAnsi="Avenir Book"/>
        </w:rPr>
        <w:t xml:space="preserve">term </w:t>
      </w:r>
      <w:r w:rsidR="00FF58EE" w:rsidRPr="00BD5096">
        <w:rPr>
          <w:rFonts w:ascii="Avenir Book" w:hAnsi="Avenir Book"/>
        </w:rPr>
        <w:t>(typically</w:t>
      </w:r>
      <w:r w:rsidRPr="00BD5096">
        <w:rPr>
          <w:rFonts w:ascii="Avenir Book" w:hAnsi="Avenir Book"/>
        </w:rPr>
        <w:t xml:space="preserve"> two years</w:t>
      </w:r>
      <w:r w:rsidR="00FF58EE" w:rsidRPr="00BD5096">
        <w:rPr>
          <w:rFonts w:ascii="Avenir Book" w:hAnsi="Avenir Book"/>
        </w:rPr>
        <w:t>)</w:t>
      </w:r>
      <w:r w:rsidRPr="00BD5096">
        <w:rPr>
          <w:rFonts w:ascii="Avenir Book" w:hAnsi="Avenir Book"/>
        </w:rPr>
        <w:t xml:space="preserve">. Attorneys on the team take on representation of all indigent defendants assigned to their particular courtroom, regardless of the nature of the charges. </w:t>
      </w:r>
      <w:r w:rsidR="00C40737" w:rsidRPr="00BD5096">
        <w:rPr>
          <w:rFonts w:ascii="Avenir Book" w:hAnsi="Avenir Book"/>
        </w:rPr>
        <w:t>The team leader delegates the cases among all team members, while also doing direct client representation as part of the team.</w:t>
      </w:r>
    </w:p>
    <w:p w14:paraId="2CEE8072" w14:textId="1A4F75A6" w:rsidR="00E6009D" w:rsidRPr="00BD5096" w:rsidRDefault="00094239" w:rsidP="00BD5096">
      <w:pPr>
        <w:spacing w:line="360" w:lineRule="auto"/>
        <w:ind w:firstLine="720"/>
        <w:jc w:val="both"/>
        <w:rPr>
          <w:rFonts w:ascii="Avenir Book" w:hAnsi="Avenir Book"/>
        </w:rPr>
      </w:pPr>
      <w:r w:rsidRPr="00BD5096">
        <w:rPr>
          <w:rFonts w:ascii="Avenir Book" w:hAnsi="Avenir Book"/>
        </w:rPr>
        <w:t>We were not provided any internal organizational documents that outline the method of case distribution and, from our interviews, it appeared that the methods that team leaders use to assign cases to line attorneys vary from team to team. The Office also does not appear to use an office-wide case management system.</w:t>
      </w:r>
    </w:p>
    <w:p w14:paraId="41D6E66C" w14:textId="77777777" w:rsidR="00C40737" w:rsidRPr="00BD5096" w:rsidRDefault="00C40737" w:rsidP="00BD5096">
      <w:pPr>
        <w:spacing w:line="360" w:lineRule="auto"/>
        <w:ind w:firstLine="720"/>
        <w:jc w:val="both"/>
        <w:rPr>
          <w:rFonts w:ascii="Avenir Book" w:hAnsi="Avenir Book"/>
        </w:rPr>
      </w:pPr>
      <w:r w:rsidRPr="00BD5096">
        <w:rPr>
          <w:rFonts w:ascii="Avenir Book" w:hAnsi="Avenir Book"/>
        </w:rPr>
        <w:t xml:space="preserve">While there are many senior attorneys in the Office (i.e., those who have been at the Office for 10 years or more) and many junior attorneys (i.e., those who have been at the Office for less than 5 years), there </w:t>
      </w:r>
      <w:r w:rsidR="00B5345C" w:rsidRPr="00BD5096">
        <w:rPr>
          <w:rFonts w:ascii="Avenir Book" w:hAnsi="Avenir Book"/>
        </w:rPr>
        <w:t>are disproportionately fewer</w:t>
      </w:r>
      <w:r w:rsidRPr="00BD5096">
        <w:rPr>
          <w:rFonts w:ascii="Avenir Book" w:hAnsi="Avenir Book"/>
        </w:rPr>
        <w:t xml:space="preserve"> mid-level </w:t>
      </w:r>
      <w:r w:rsidR="00B5345C" w:rsidRPr="00BD5096">
        <w:rPr>
          <w:rFonts w:ascii="Avenir Book" w:hAnsi="Avenir Book"/>
        </w:rPr>
        <w:t xml:space="preserve">attorneys </w:t>
      </w:r>
      <w:r w:rsidRPr="00BD5096">
        <w:rPr>
          <w:rFonts w:ascii="Avenir Book" w:hAnsi="Avenir Book"/>
        </w:rPr>
        <w:t>(i.e., those who have been at the Office between 5 and 10 years) working in the Office.</w:t>
      </w:r>
    </w:p>
    <w:p w14:paraId="3176532D" w14:textId="7FEDC098" w:rsidR="000F6C1C" w:rsidRPr="00BD5096" w:rsidRDefault="00E6009D" w:rsidP="00BD5096">
      <w:pPr>
        <w:spacing w:line="360" w:lineRule="auto"/>
        <w:ind w:firstLine="720"/>
        <w:jc w:val="both"/>
        <w:rPr>
          <w:rFonts w:ascii="Avenir Book" w:hAnsi="Avenir Book"/>
        </w:rPr>
        <w:sectPr w:rsidR="000F6C1C" w:rsidRPr="00BD5096" w:rsidSect="00987E1A">
          <w:endnotePr>
            <w:numFmt w:val="decimal"/>
          </w:endnotePr>
          <w:pgSz w:w="12240" w:h="15840"/>
          <w:pgMar w:top="1440" w:right="1440" w:bottom="1440" w:left="1440" w:header="720" w:footer="720" w:gutter="0"/>
          <w:cols w:space="720"/>
        </w:sectPr>
      </w:pPr>
      <w:r w:rsidRPr="00BD5096">
        <w:rPr>
          <w:rFonts w:ascii="Avenir Book" w:hAnsi="Avenir Book"/>
        </w:rPr>
        <w:t xml:space="preserve">To our knowledge, there are no written performance review standards distributed to attorneys. And while job descriptions for team leaders and supervisory attorneys are </w:t>
      </w:r>
      <w:r w:rsidRPr="00BD5096">
        <w:rPr>
          <w:rFonts w:ascii="Avenir Book" w:hAnsi="Avenir Book"/>
        </w:rPr>
        <w:lastRenderedPageBreak/>
        <w:t xml:space="preserve">circulated when an open position becomes available, it is not clear that the office otherwise disseminates documents discussing promotion standards or timelines. </w:t>
      </w:r>
    </w:p>
    <w:p w14:paraId="2361B0A7" w14:textId="343D6F53" w:rsidR="000F6C1C" w:rsidRDefault="000E2E79" w:rsidP="00BD5096">
      <w:pPr>
        <w:pStyle w:val="Heading"/>
      </w:pPr>
      <w:bookmarkStart w:id="11" w:name="_Toc62730366"/>
      <w:r>
        <w:rPr>
          <w:noProof/>
          <w:sz w:val="10"/>
          <w:szCs w:val="10"/>
        </w:rPr>
        <w:lastRenderedPageBreak/>
        <w:pict w14:anchorId="29242D74">
          <v:rect id="_x0000_i1040" alt="" style="width:468pt;height:.05pt;mso-width-percent:0;mso-height-percent:0;mso-width-percent:0;mso-height-percent:0" o:hralign="center" o:hrstd="t" o:hr="t" fillcolor="#a0a0a0" stroked="f"/>
        </w:pict>
      </w:r>
      <w:r w:rsidR="000F6C1C" w:rsidRPr="00B862A4">
        <w:t>DISCUSSION OF CONSIDERATIONS</w:t>
      </w:r>
      <w:bookmarkEnd w:id="11"/>
      <w:r>
        <w:rPr>
          <w:noProof/>
          <w:sz w:val="10"/>
          <w:szCs w:val="10"/>
        </w:rPr>
        <w:pict w14:anchorId="4658D8AD">
          <v:rect id="_x0000_i1039" alt="" style="width:468pt;height:.05pt;mso-width-percent:0;mso-height-percent:0;mso-width-percent:0;mso-height-percent:0" o:hralign="center" o:hrstd="t" o:hr="t" fillcolor="#a0a0a0" stroked="f"/>
        </w:pict>
      </w:r>
    </w:p>
    <w:p w14:paraId="75C2BF32" w14:textId="77777777" w:rsidR="000F6C1C" w:rsidRDefault="000F6C1C">
      <w:pPr>
        <w:spacing w:line="480" w:lineRule="auto"/>
        <w:jc w:val="center"/>
        <w:rPr>
          <w:b/>
          <w:u w:val="single"/>
        </w:rPr>
      </w:pPr>
    </w:p>
    <w:p w14:paraId="4B2DDAC6" w14:textId="7FE54993" w:rsidR="0097113F" w:rsidRPr="00BD5096" w:rsidRDefault="00913A1D" w:rsidP="00BD5096">
      <w:pPr>
        <w:spacing w:line="360" w:lineRule="auto"/>
        <w:ind w:firstLine="720"/>
        <w:jc w:val="both"/>
        <w:rPr>
          <w:rFonts w:ascii="Avenir Book" w:hAnsi="Avenir Book"/>
        </w:rPr>
      </w:pPr>
      <w:r w:rsidRPr="00BD5096">
        <w:rPr>
          <w:rFonts w:ascii="Avenir Book" w:hAnsi="Avenir Book"/>
        </w:rPr>
        <w:t xml:space="preserve">As </w:t>
      </w:r>
      <w:r w:rsidR="003F3C4A" w:rsidRPr="00BD5096">
        <w:rPr>
          <w:rFonts w:ascii="Avenir Book" w:hAnsi="Avenir Book"/>
        </w:rPr>
        <w:t>stated in the I</w:t>
      </w:r>
      <w:r w:rsidRPr="00BD5096">
        <w:rPr>
          <w:rFonts w:ascii="Avenir Book" w:hAnsi="Avenir Book"/>
        </w:rPr>
        <w:t>ntroduction to this Report,</w:t>
      </w:r>
      <w:r w:rsidR="0097113F" w:rsidRPr="00BD5096">
        <w:rPr>
          <w:rFonts w:ascii="Avenir Book" w:hAnsi="Avenir Book"/>
        </w:rPr>
        <w:t xml:space="preserve"> the primary ways in which the Commission’s duties intersect with the work of the Office of the Public Defender are that: (1) the Commission has a statutory responsibility to hire the Chief Public Defender; (2) </w:t>
      </w:r>
      <w:r w:rsidR="0082301A" w:rsidRPr="00BD5096">
        <w:rPr>
          <w:rFonts w:ascii="Avenir Book" w:hAnsi="Avenir Book"/>
        </w:rPr>
        <w:t xml:space="preserve">the Commission is often used as a vehicle through with internal and external criticisms regarding the Office are </w:t>
      </w:r>
      <w:r w:rsidR="00F25ECC">
        <w:rPr>
          <w:rFonts w:ascii="Avenir Book" w:hAnsi="Avenir Book"/>
        </w:rPr>
        <w:t>brought forward</w:t>
      </w:r>
      <w:r w:rsidR="0082301A" w:rsidRPr="00BD5096">
        <w:rPr>
          <w:rFonts w:ascii="Avenir Book" w:hAnsi="Avenir Book"/>
        </w:rPr>
        <w:t xml:space="preserve">; (3) </w:t>
      </w:r>
      <w:r w:rsidR="0097113F" w:rsidRPr="00BD5096">
        <w:rPr>
          <w:rFonts w:ascii="Avenir Book" w:hAnsi="Avenir Book"/>
        </w:rPr>
        <w:t xml:space="preserve">the Commission is responsible for reviewing and approving the Office’s annual budget; </w:t>
      </w:r>
      <w:r w:rsidR="0082301A" w:rsidRPr="00BD5096">
        <w:rPr>
          <w:rFonts w:ascii="Avenir Book" w:hAnsi="Avenir Book"/>
        </w:rPr>
        <w:t xml:space="preserve">and </w:t>
      </w:r>
      <w:r w:rsidR="0097113F" w:rsidRPr="00BD5096">
        <w:rPr>
          <w:rFonts w:ascii="Avenir Book" w:hAnsi="Avenir Book"/>
        </w:rPr>
        <w:t>(</w:t>
      </w:r>
      <w:r w:rsidR="0082301A" w:rsidRPr="00BD5096">
        <w:rPr>
          <w:rFonts w:ascii="Avenir Book" w:hAnsi="Avenir Book"/>
        </w:rPr>
        <w:t>4</w:t>
      </w:r>
      <w:r w:rsidR="0097113F" w:rsidRPr="00BD5096">
        <w:rPr>
          <w:rFonts w:ascii="Avenir Book" w:hAnsi="Avenir Book"/>
        </w:rPr>
        <w:t>) the Commission, as the executive of Montgomery County, is potentially liable for any lawsuit that may be brought against the Office.</w:t>
      </w:r>
    </w:p>
    <w:p w14:paraId="02E7861E" w14:textId="1A448F4E" w:rsidR="00BD5096" w:rsidRDefault="0097113F" w:rsidP="00F85AC7">
      <w:pPr>
        <w:spacing w:line="360" w:lineRule="auto"/>
        <w:ind w:firstLine="720"/>
        <w:jc w:val="both"/>
        <w:rPr>
          <w:rFonts w:ascii="Avenir Book" w:hAnsi="Avenir Book"/>
        </w:rPr>
      </w:pPr>
      <w:r w:rsidRPr="00BD5096">
        <w:rPr>
          <w:rFonts w:ascii="Avenir Book" w:hAnsi="Avenir Book"/>
        </w:rPr>
        <w:t xml:space="preserve">This Discussion will track those categories. </w:t>
      </w:r>
      <w:r w:rsidR="00AF5BC1" w:rsidRPr="00BD5096">
        <w:rPr>
          <w:rFonts w:ascii="Avenir Book" w:hAnsi="Avenir Book"/>
        </w:rPr>
        <w:t>In the following</w:t>
      </w:r>
      <w:r w:rsidR="000F6C1C" w:rsidRPr="00BD5096">
        <w:rPr>
          <w:rFonts w:ascii="Avenir Book" w:hAnsi="Avenir Book"/>
        </w:rPr>
        <w:t xml:space="preserve"> section</w:t>
      </w:r>
      <w:r w:rsidR="00AF5BC1" w:rsidRPr="00BD5096">
        <w:rPr>
          <w:rFonts w:ascii="Avenir Book" w:hAnsi="Avenir Book"/>
        </w:rPr>
        <w:t>s, we</w:t>
      </w:r>
      <w:r w:rsidR="000F6C1C" w:rsidRPr="00BD5096">
        <w:rPr>
          <w:rFonts w:ascii="Avenir Book" w:hAnsi="Avenir Book"/>
        </w:rPr>
        <w:t xml:space="preserve"> will examine each of the listed considerations to </w:t>
      </w:r>
      <w:r w:rsidR="00AF5BC1" w:rsidRPr="00BD5096">
        <w:rPr>
          <w:rFonts w:ascii="Avenir Book" w:hAnsi="Avenir Book"/>
        </w:rPr>
        <w:t>describe options, and provide examples,</w:t>
      </w:r>
      <w:r w:rsidR="000F6C1C" w:rsidRPr="00BD5096">
        <w:rPr>
          <w:rFonts w:ascii="Avenir Book" w:hAnsi="Avenir Book"/>
        </w:rPr>
        <w:t xml:space="preserve"> that governments may choose from to best </w:t>
      </w:r>
      <w:r w:rsidR="00764B09" w:rsidRPr="00BD5096">
        <w:rPr>
          <w:rFonts w:ascii="Avenir Book" w:hAnsi="Avenir Book"/>
        </w:rPr>
        <w:t>structure their indigent defense systems</w:t>
      </w:r>
      <w:r w:rsidR="000F6C1C" w:rsidRPr="00BD5096">
        <w:rPr>
          <w:rFonts w:ascii="Avenir Book" w:hAnsi="Avenir Book"/>
        </w:rPr>
        <w:t>.</w:t>
      </w:r>
      <w:bookmarkStart w:id="12" w:name="_Toc62730367"/>
    </w:p>
    <w:p w14:paraId="7C862235" w14:textId="77777777" w:rsidR="00F85AC7" w:rsidRPr="00F85AC7" w:rsidRDefault="00F85AC7" w:rsidP="00F85AC7">
      <w:pPr>
        <w:spacing w:line="360" w:lineRule="auto"/>
        <w:ind w:firstLine="720"/>
        <w:jc w:val="both"/>
        <w:rPr>
          <w:rFonts w:ascii="Avenir Book" w:hAnsi="Avenir Book"/>
        </w:rPr>
      </w:pPr>
    </w:p>
    <w:p w14:paraId="5D38662B" w14:textId="5270DD27" w:rsidR="000F6C1C" w:rsidRPr="00B862A4" w:rsidRDefault="00B862A4" w:rsidP="001161E1">
      <w:pPr>
        <w:pStyle w:val="Head3"/>
      </w:pPr>
      <w:r w:rsidRPr="00B862A4">
        <w:t>ENSURING INDEPENDENCE</w:t>
      </w:r>
      <w:bookmarkEnd w:id="12"/>
    </w:p>
    <w:p w14:paraId="4F418574" w14:textId="1B43C874" w:rsidR="001740FE" w:rsidRPr="00BD5096" w:rsidRDefault="00D56653" w:rsidP="00BD5096">
      <w:pPr>
        <w:spacing w:line="360" w:lineRule="auto"/>
        <w:ind w:firstLine="720"/>
        <w:jc w:val="both"/>
        <w:rPr>
          <w:rFonts w:ascii="Avenir Book" w:hAnsi="Avenir Book"/>
          <w:color w:val="000000"/>
        </w:rPr>
      </w:pPr>
      <w:r w:rsidRPr="00BD5096">
        <w:rPr>
          <w:rFonts w:ascii="Avenir Book" w:hAnsi="Avenir Book"/>
          <w:color w:val="000000"/>
        </w:rPr>
        <w:t>At the institutional level, independence</w:t>
      </w:r>
      <w:r w:rsidR="000B1048" w:rsidRPr="00BD5096">
        <w:rPr>
          <w:rFonts w:ascii="Avenir Book" w:hAnsi="Avenir Book"/>
          <w:color w:val="000000"/>
        </w:rPr>
        <w:t xml:space="preserve"> refers to a public defender office’s ability to operate without </w:t>
      </w:r>
      <w:r w:rsidR="0084296B" w:rsidRPr="00BD5096">
        <w:rPr>
          <w:rFonts w:ascii="Avenir Book" w:hAnsi="Avenir Book"/>
          <w:color w:val="000000"/>
        </w:rPr>
        <w:t xml:space="preserve">undue </w:t>
      </w:r>
      <w:r w:rsidR="000B1048" w:rsidRPr="00BD5096">
        <w:rPr>
          <w:rFonts w:ascii="Avenir Book" w:hAnsi="Avenir Book"/>
          <w:color w:val="000000"/>
        </w:rPr>
        <w:t xml:space="preserve">pressure or influence from </w:t>
      </w:r>
      <w:r w:rsidR="00967A77" w:rsidRPr="00BD5096">
        <w:rPr>
          <w:rFonts w:ascii="Avenir Book" w:hAnsi="Avenir Book"/>
          <w:color w:val="000000"/>
        </w:rPr>
        <w:t>other institutions or institutional actors</w:t>
      </w:r>
      <w:r w:rsidR="007C2393" w:rsidRPr="00BD5096">
        <w:rPr>
          <w:rFonts w:ascii="Avenir Book" w:hAnsi="Avenir Book"/>
          <w:color w:val="000000"/>
        </w:rPr>
        <w:t xml:space="preserve"> </w:t>
      </w:r>
      <w:r w:rsidR="001740FE" w:rsidRPr="00BD5096">
        <w:rPr>
          <w:rFonts w:ascii="Avenir Book" w:hAnsi="Avenir Book"/>
          <w:color w:val="000000"/>
        </w:rPr>
        <w:t>(namely, the judiciary, lawmakers, and executive actors such as the overseeing county commission)</w:t>
      </w:r>
      <w:r w:rsidR="007C2393" w:rsidRPr="00BD5096">
        <w:rPr>
          <w:rFonts w:ascii="Avenir Book" w:hAnsi="Avenir Book"/>
          <w:color w:val="000000"/>
        </w:rPr>
        <w:t>.</w:t>
      </w:r>
      <w:r w:rsidR="001740FE" w:rsidRPr="00BD5096">
        <w:rPr>
          <w:rFonts w:ascii="Avenir Book" w:hAnsi="Avenir Book"/>
          <w:color w:val="000000"/>
          <w:vertAlign w:val="superscript"/>
        </w:rPr>
        <w:endnoteReference w:id="68"/>
      </w:r>
      <w:r w:rsidR="001740FE" w:rsidRPr="00BD5096">
        <w:rPr>
          <w:rFonts w:ascii="Avenir Book" w:hAnsi="Avenir Book"/>
          <w:color w:val="000000"/>
        </w:rPr>
        <w:t xml:space="preserve"> </w:t>
      </w:r>
      <w:r w:rsidRPr="00BD5096">
        <w:rPr>
          <w:rFonts w:ascii="Avenir Book" w:hAnsi="Avenir Book"/>
          <w:color w:val="000000"/>
        </w:rPr>
        <w:t xml:space="preserve">Without </w:t>
      </w:r>
      <w:r w:rsidR="001740FE" w:rsidRPr="00BD5096">
        <w:rPr>
          <w:rFonts w:ascii="Avenir Book" w:hAnsi="Avenir Book"/>
          <w:color w:val="000000"/>
        </w:rPr>
        <w:t xml:space="preserve">institutional </w:t>
      </w:r>
      <w:r w:rsidRPr="00BD5096">
        <w:rPr>
          <w:rFonts w:ascii="Avenir Book" w:hAnsi="Avenir Book"/>
          <w:color w:val="000000"/>
        </w:rPr>
        <w:t>independence, outside influences can unduly impact the hiring, funding, and operations of indigent defense systems.</w:t>
      </w:r>
      <w:r w:rsidRPr="00BD5096">
        <w:rPr>
          <w:rFonts w:ascii="Avenir Book" w:hAnsi="Avenir Book"/>
          <w:color w:val="000000"/>
          <w:vertAlign w:val="superscript"/>
        </w:rPr>
        <w:endnoteReference w:id="69"/>
      </w:r>
      <w:r w:rsidRPr="00BD5096">
        <w:rPr>
          <w:rFonts w:ascii="Avenir Book" w:hAnsi="Avenir Book"/>
          <w:color w:val="000000"/>
        </w:rPr>
        <w:t xml:space="preserve"> How</w:t>
      </w:r>
      <w:r w:rsidR="00967A77" w:rsidRPr="00BD5096">
        <w:rPr>
          <w:rFonts w:ascii="Avenir Book" w:hAnsi="Avenir Book"/>
          <w:color w:val="000000"/>
        </w:rPr>
        <w:t xml:space="preserve"> a public defender’s office is structured – with respect to internal organization, oversight, and relations with external institutions – </w:t>
      </w:r>
      <w:r w:rsidRPr="00BD5096">
        <w:rPr>
          <w:rFonts w:ascii="Avenir Book" w:hAnsi="Avenir Book"/>
          <w:color w:val="000000"/>
        </w:rPr>
        <w:t>in large part determines its degree of institutional independence</w:t>
      </w:r>
      <w:r w:rsidR="007C2393" w:rsidRPr="00BD5096">
        <w:rPr>
          <w:rFonts w:ascii="Avenir Book" w:hAnsi="Avenir Book"/>
          <w:color w:val="000000"/>
        </w:rPr>
        <w:t>.</w:t>
      </w:r>
    </w:p>
    <w:p w14:paraId="41849FBD" w14:textId="2FCE63B9" w:rsidR="000F6C1C" w:rsidRPr="00BD5096" w:rsidRDefault="00D56653" w:rsidP="00BD5096">
      <w:pPr>
        <w:spacing w:line="360" w:lineRule="auto"/>
        <w:ind w:firstLine="720"/>
        <w:jc w:val="both"/>
        <w:rPr>
          <w:rFonts w:ascii="Avenir Book" w:hAnsi="Avenir Book"/>
          <w:color w:val="000000"/>
        </w:rPr>
      </w:pPr>
      <w:r w:rsidRPr="00BD5096">
        <w:rPr>
          <w:rFonts w:ascii="Avenir Book" w:hAnsi="Avenir Book"/>
          <w:color w:val="000000"/>
        </w:rPr>
        <w:lastRenderedPageBreak/>
        <w:t>At the individual level, independence refers to a defense attorney’s ability “to be able to make decisions based on what is right for their clients to whom they are ethically responsible without fear of adverse personal or program consequences.”</w:t>
      </w:r>
      <w:r w:rsidRPr="00BD5096">
        <w:rPr>
          <w:rFonts w:ascii="Avenir Book" w:hAnsi="Avenir Book"/>
          <w:color w:val="000000"/>
          <w:vertAlign w:val="superscript"/>
        </w:rPr>
        <w:endnoteReference w:id="70"/>
      </w:r>
      <w:r w:rsidRPr="00BD5096">
        <w:rPr>
          <w:rFonts w:ascii="Avenir Book" w:hAnsi="Avenir Book"/>
          <w:color w:val="000000"/>
        </w:rPr>
        <w:t xml:space="preserve"> The Supreme Court recognized in </w:t>
      </w:r>
      <w:r w:rsidRPr="00BD5096">
        <w:rPr>
          <w:rFonts w:ascii="Avenir Book" w:hAnsi="Avenir Book"/>
          <w:i/>
          <w:color w:val="000000"/>
        </w:rPr>
        <w:t xml:space="preserve">Polk County v. Dodson </w:t>
      </w:r>
      <w:r w:rsidRPr="00BD5096">
        <w:rPr>
          <w:rFonts w:ascii="Avenir Book" w:hAnsi="Avenir Book"/>
          <w:color w:val="000000"/>
        </w:rPr>
        <w:t>that states have a “constitutional obligation to respect the professional independence” of the indigent defense attorneys and offices with whom they engage.</w:t>
      </w:r>
      <w:r w:rsidRPr="00BD5096">
        <w:rPr>
          <w:rFonts w:ascii="Avenir Book" w:hAnsi="Avenir Book"/>
          <w:color w:val="000000"/>
          <w:vertAlign w:val="superscript"/>
        </w:rPr>
        <w:endnoteReference w:id="71"/>
      </w:r>
    </w:p>
    <w:p w14:paraId="12DB7F42" w14:textId="126DC231" w:rsidR="0036382D" w:rsidRPr="00BD5096" w:rsidRDefault="00D56653" w:rsidP="00BD5096">
      <w:pPr>
        <w:spacing w:line="360" w:lineRule="auto"/>
        <w:ind w:firstLine="720"/>
        <w:jc w:val="both"/>
        <w:rPr>
          <w:rFonts w:ascii="Avenir Book" w:hAnsi="Avenir Book"/>
          <w:color w:val="000000"/>
        </w:rPr>
      </w:pPr>
      <w:r w:rsidRPr="00BD5096">
        <w:rPr>
          <w:rFonts w:ascii="Avenir Book" w:hAnsi="Avenir Book"/>
        </w:rPr>
        <w:t>Both institutional and individual</w:t>
      </w:r>
      <w:r w:rsidR="000F6C1C" w:rsidRPr="00BD5096">
        <w:rPr>
          <w:rFonts w:ascii="Avenir Book" w:hAnsi="Avenir Book"/>
        </w:rPr>
        <w:t xml:space="preserve"> independence is crucial for the meaningful representation of clients and for assuring that the adversarial legal system works reliably and produces valid results.</w:t>
      </w:r>
      <w:r w:rsidR="000F6C1C" w:rsidRPr="00BD5096">
        <w:rPr>
          <w:rFonts w:ascii="Avenir Book" w:hAnsi="Avenir Book"/>
          <w:vertAlign w:val="superscript"/>
        </w:rPr>
        <w:endnoteReference w:id="72"/>
      </w:r>
      <w:r w:rsidR="00281734" w:rsidRPr="00BD5096">
        <w:rPr>
          <w:rFonts w:ascii="Avenir Book" w:hAnsi="Avenir Book"/>
        </w:rPr>
        <w:t xml:space="preserve"> </w:t>
      </w:r>
      <w:r w:rsidR="000F6C1C" w:rsidRPr="00BD5096">
        <w:rPr>
          <w:rFonts w:ascii="Avenir Book" w:hAnsi="Avenir Book"/>
        </w:rPr>
        <w:t xml:space="preserve">Independence is especially critical for public defense professionals </w:t>
      </w:r>
      <w:r w:rsidRPr="00BD5096">
        <w:rPr>
          <w:rFonts w:ascii="Avenir Book" w:hAnsi="Avenir Book"/>
        </w:rPr>
        <w:t xml:space="preserve">and their offices </w:t>
      </w:r>
      <w:r w:rsidR="000F6C1C" w:rsidRPr="00BD5096">
        <w:rPr>
          <w:rFonts w:ascii="Avenir Book" w:hAnsi="Avenir Book"/>
        </w:rPr>
        <w:t>because the “essence of their work” is to represent clients against the very government that employs and funds them.</w:t>
      </w:r>
      <w:r w:rsidR="000F6C1C" w:rsidRPr="00BD5096">
        <w:rPr>
          <w:rFonts w:ascii="Avenir Book" w:hAnsi="Avenir Book"/>
          <w:vertAlign w:val="superscript"/>
        </w:rPr>
        <w:endnoteReference w:id="73"/>
      </w:r>
    </w:p>
    <w:p w14:paraId="065468C5" w14:textId="314DA487" w:rsidR="00BD5096" w:rsidRDefault="001740FE" w:rsidP="00F85AC7">
      <w:pPr>
        <w:spacing w:line="360" w:lineRule="auto"/>
        <w:ind w:firstLine="720"/>
        <w:jc w:val="both"/>
        <w:rPr>
          <w:rFonts w:ascii="Avenir Book" w:hAnsi="Avenir Book"/>
          <w:color w:val="000000"/>
        </w:rPr>
      </w:pPr>
      <w:r w:rsidRPr="00BD5096">
        <w:rPr>
          <w:rFonts w:ascii="Avenir Book" w:hAnsi="Avenir Book"/>
          <w:color w:val="000000"/>
        </w:rPr>
        <w:t>In this Report, we focus on the two areas of potential external influence that present the greatest risk to the independence of the Montgomery County Office</w:t>
      </w:r>
      <w:r w:rsidR="006B4584">
        <w:rPr>
          <w:rFonts w:ascii="Avenir Book" w:hAnsi="Avenir Book"/>
          <w:color w:val="000000"/>
        </w:rPr>
        <w:t xml:space="preserve"> of the Public Defender</w:t>
      </w:r>
      <w:r w:rsidRPr="00BD5096">
        <w:rPr>
          <w:rFonts w:ascii="Avenir Book" w:hAnsi="Avenir Book"/>
          <w:color w:val="000000"/>
        </w:rPr>
        <w:t>: from the County Executive</w:t>
      </w:r>
      <w:r w:rsidR="001901B9" w:rsidRPr="00BD5096">
        <w:rPr>
          <w:rFonts w:ascii="Avenir Book" w:hAnsi="Avenir Book"/>
          <w:color w:val="000000"/>
        </w:rPr>
        <w:t xml:space="preserve"> (which we will call “political influence”), </w:t>
      </w:r>
      <w:r w:rsidRPr="00BD5096">
        <w:rPr>
          <w:rFonts w:ascii="Avenir Book" w:hAnsi="Avenir Book"/>
          <w:color w:val="000000"/>
        </w:rPr>
        <w:t xml:space="preserve">and </w:t>
      </w:r>
      <w:r w:rsidR="001901B9" w:rsidRPr="00BD5096">
        <w:rPr>
          <w:rFonts w:ascii="Avenir Book" w:hAnsi="Avenir Book"/>
          <w:color w:val="000000"/>
        </w:rPr>
        <w:t xml:space="preserve">from the judiciary (“judicial influence”). In this section, we will discuss </w:t>
      </w:r>
      <w:r w:rsidR="00E87F2E" w:rsidRPr="00BD5096">
        <w:rPr>
          <w:rFonts w:ascii="Avenir Book" w:hAnsi="Avenir Book"/>
          <w:color w:val="000000"/>
        </w:rPr>
        <w:t xml:space="preserve">how the Office’s </w:t>
      </w:r>
      <w:r w:rsidR="0082301A" w:rsidRPr="00BD5096">
        <w:rPr>
          <w:rFonts w:ascii="Avenir Book" w:hAnsi="Avenir Book"/>
          <w:color w:val="000000"/>
        </w:rPr>
        <w:t xml:space="preserve">external </w:t>
      </w:r>
      <w:r w:rsidR="00E87F2E" w:rsidRPr="00BD5096">
        <w:rPr>
          <w:rFonts w:ascii="Avenir Book" w:hAnsi="Avenir Book"/>
          <w:color w:val="000000"/>
        </w:rPr>
        <w:t xml:space="preserve">oversight structure </w:t>
      </w:r>
      <w:r w:rsidR="0082301A" w:rsidRPr="00BD5096">
        <w:rPr>
          <w:rFonts w:ascii="Avenir Book" w:hAnsi="Avenir Book"/>
          <w:color w:val="000000"/>
        </w:rPr>
        <w:t xml:space="preserve">and some internal practices </w:t>
      </w:r>
      <w:r w:rsidR="00E87F2E" w:rsidRPr="00BD5096">
        <w:rPr>
          <w:rFonts w:ascii="Avenir Book" w:hAnsi="Avenir Book"/>
          <w:color w:val="000000"/>
        </w:rPr>
        <w:t xml:space="preserve">contribute to the risk of </w:t>
      </w:r>
      <w:r w:rsidR="0082301A" w:rsidRPr="00BD5096">
        <w:rPr>
          <w:rFonts w:ascii="Avenir Book" w:hAnsi="Avenir Book"/>
          <w:color w:val="000000"/>
        </w:rPr>
        <w:t>external</w:t>
      </w:r>
      <w:r w:rsidR="009039CF" w:rsidRPr="00BD5096">
        <w:rPr>
          <w:rFonts w:ascii="Avenir Book" w:hAnsi="Avenir Book"/>
          <w:color w:val="000000"/>
        </w:rPr>
        <w:t xml:space="preserve"> influence</w:t>
      </w:r>
      <w:r w:rsidR="00E87F2E" w:rsidRPr="00BD5096">
        <w:rPr>
          <w:rFonts w:ascii="Avenir Book" w:hAnsi="Avenir Book"/>
          <w:color w:val="000000"/>
        </w:rPr>
        <w:t>, and suggest restructuring reforms that can mitigate that risk</w:t>
      </w:r>
      <w:r w:rsidR="009039CF" w:rsidRPr="00BD5096">
        <w:rPr>
          <w:rFonts w:ascii="Avenir Book" w:hAnsi="Avenir Book"/>
          <w:color w:val="000000"/>
        </w:rPr>
        <w:t xml:space="preserve">. </w:t>
      </w:r>
      <w:bookmarkStart w:id="13" w:name="_Toc62730368"/>
    </w:p>
    <w:p w14:paraId="09268EDC" w14:textId="77777777" w:rsidR="00F85AC7" w:rsidRPr="00F85AC7" w:rsidRDefault="00F85AC7" w:rsidP="00F85AC7">
      <w:pPr>
        <w:spacing w:line="360" w:lineRule="auto"/>
        <w:ind w:firstLine="720"/>
        <w:jc w:val="both"/>
        <w:rPr>
          <w:rFonts w:ascii="Avenir Book" w:hAnsi="Avenir Book"/>
          <w:color w:val="000000"/>
        </w:rPr>
      </w:pPr>
    </w:p>
    <w:p w14:paraId="734615E7" w14:textId="2A23D025" w:rsidR="00F01684" w:rsidRPr="001161E1" w:rsidRDefault="009039CF" w:rsidP="001161E1">
      <w:pPr>
        <w:pStyle w:val="Head3"/>
      </w:pPr>
      <w:r w:rsidRPr="001161E1">
        <w:t>Political</w:t>
      </w:r>
      <w:r w:rsidR="000F6C1C" w:rsidRPr="001161E1">
        <w:t xml:space="preserve"> Influence</w:t>
      </w:r>
      <w:bookmarkEnd w:id="13"/>
    </w:p>
    <w:p w14:paraId="0BE15E2B" w14:textId="27B069F0" w:rsidR="003E0000" w:rsidRPr="00BD5096" w:rsidRDefault="00964228" w:rsidP="00BD5096">
      <w:pPr>
        <w:spacing w:line="360" w:lineRule="auto"/>
        <w:ind w:firstLine="720"/>
        <w:jc w:val="both"/>
        <w:rPr>
          <w:rFonts w:ascii="Avenir Book" w:hAnsi="Avenir Book"/>
          <w:color w:val="000000"/>
        </w:rPr>
      </w:pPr>
      <w:r w:rsidRPr="00BD5096">
        <w:rPr>
          <w:rFonts w:ascii="Avenir Book" w:hAnsi="Avenir Book"/>
          <w:color w:val="000000"/>
        </w:rPr>
        <w:t>Pennsylvania’s st</w:t>
      </w:r>
      <w:r w:rsidR="003E0000" w:rsidRPr="00BD5096">
        <w:rPr>
          <w:rFonts w:ascii="Avenir Book" w:hAnsi="Avenir Book"/>
          <w:color w:val="000000"/>
        </w:rPr>
        <w:t xml:space="preserve">atutory scheme for the administration and funding of indigent defense services </w:t>
      </w:r>
      <w:r w:rsidR="00250695">
        <w:rPr>
          <w:rFonts w:ascii="Avenir Book" w:hAnsi="Avenir Book"/>
          <w:color w:val="000000"/>
        </w:rPr>
        <w:t>places</w:t>
      </w:r>
      <w:r w:rsidR="000063E0" w:rsidRPr="00BD5096">
        <w:rPr>
          <w:rFonts w:ascii="Avenir Book" w:hAnsi="Avenir Book"/>
          <w:color w:val="000000"/>
        </w:rPr>
        <w:t xml:space="preserve"> county executives in</w:t>
      </w:r>
      <w:r w:rsidR="00250695">
        <w:rPr>
          <w:rFonts w:ascii="Avenir Book" w:hAnsi="Avenir Book"/>
          <w:color w:val="000000"/>
        </w:rPr>
        <w:t>to</w:t>
      </w:r>
      <w:r w:rsidR="000063E0" w:rsidRPr="00BD5096">
        <w:rPr>
          <w:rFonts w:ascii="Avenir Book" w:hAnsi="Avenir Book"/>
          <w:color w:val="000000"/>
        </w:rPr>
        <w:t xml:space="preserve"> a dual role</w:t>
      </w:r>
      <w:r w:rsidR="000A1647" w:rsidRPr="00BD5096">
        <w:rPr>
          <w:rFonts w:ascii="Avenir Book" w:hAnsi="Avenir Book"/>
          <w:color w:val="000000"/>
        </w:rPr>
        <w:t>. A</w:t>
      </w:r>
      <w:r w:rsidR="000063E0" w:rsidRPr="00BD5096">
        <w:rPr>
          <w:rFonts w:ascii="Avenir Book" w:hAnsi="Avenir Book"/>
          <w:color w:val="000000"/>
        </w:rPr>
        <w:t>s executives, they are</w:t>
      </w:r>
      <w:r w:rsidR="003E0000" w:rsidRPr="00BD5096">
        <w:rPr>
          <w:rFonts w:ascii="Avenir Book" w:hAnsi="Avenir Book"/>
          <w:color w:val="000000"/>
        </w:rPr>
        <w:t xml:space="preserve"> charged with ensuring enforcement of the penal laws</w:t>
      </w:r>
      <w:r w:rsidR="000A1647" w:rsidRPr="00BD5096">
        <w:rPr>
          <w:rFonts w:ascii="Avenir Book" w:hAnsi="Avenir Book"/>
          <w:color w:val="000000"/>
        </w:rPr>
        <w:t>, and to that end</w:t>
      </w:r>
      <w:r w:rsidR="000063E0" w:rsidRPr="00BD5096">
        <w:rPr>
          <w:rFonts w:ascii="Avenir Book" w:hAnsi="Avenir Book"/>
          <w:color w:val="000000"/>
        </w:rPr>
        <w:t xml:space="preserve"> </w:t>
      </w:r>
      <w:r w:rsidR="000A1647" w:rsidRPr="00BD5096">
        <w:rPr>
          <w:rFonts w:ascii="Avenir Book" w:hAnsi="Avenir Book"/>
          <w:color w:val="000000"/>
        </w:rPr>
        <w:t>oversee</w:t>
      </w:r>
      <w:r w:rsidR="000063E0" w:rsidRPr="00BD5096">
        <w:rPr>
          <w:rFonts w:ascii="Avenir Book" w:hAnsi="Avenir Book"/>
          <w:color w:val="000000"/>
        </w:rPr>
        <w:t xml:space="preserve"> and fund the county’s district attorney’s office</w:t>
      </w:r>
      <w:r w:rsidR="000A1647" w:rsidRPr="00BD5096">
        <w:rPr>
          <w:rFonts w:ascii="Avenir Book" w:hAnsi="Avenir Book"/>
          <w:color w:val="000000"/>
        </w:rPr>
        <w:t>.</w:t>
      </w:r>
      <w:r w:rsidR="000063E0" w:rsidRPr="00BD5096">
        <w:rPr>
          <w:rFonts w:ascii="Avenir Book" w:hAnsi="Avenir Book"/>
          <w:color w:val="000000"/>
        </w:rPr>
        <w:t xml:space="preserve"> </w:t>
      </w:r>
      <w:r w:rsidR="000A1647" w:rsidRPr="00BD5096">
        <w:rPr>
          <w:rFonts w:ascii="Avenir Book" w:hAnsi="Avenir Book"/>
          <w:color w:val="000000"/>
        </w:rPr>
        <w:t>Y</w:t>
      </w:r>
      <w:r w:rsidR="000063E0" w:rsidRPr="00BD5096">
        <w:rPr>
          <w:rFonts w:ascii="Avenir Book" w:hAnsi="Avenir Book"/>
          <w:color w:val="000000"/>
        </w:rPr>
        <w:t>et they also oversee and fund that office’s adversary, the public defender</w:t>
      </w:r>
      <w:r w:rsidR="003E0000" w:rsidRPr="00BD5096">
        <w:rPr>
          <w:rFonts w:ascii="Avenir Book" w:hAnsi="Avenir Book"/>
          <w:color w:val="000000"/>
        </w:rPr>
        <w:t>.</w:t>
      </w:r>
      <w:r w:rsidR="003E0000" w:rsidRPr="00BD5096">
        <w:rPr>
          <w:rFonts w:ascii="Avenir Book" w:hAnsi="Avenir Book"/>
          <w:vertAlign w:val="superscript"/>
        </w:rPr>
        <w:endnoteReference w:id="74"/>
      </w:r>
      <w:r w:rsidR="003E0000" w:rsidRPr="00BD5096">
        <w:rPr>
          <w:rFonts w:ascii="Avenir Book" w:hAnsi="Avenir Book"/>
          <w:color w:val="000000"/>
        </w:rPr>
        <w:t xml:space="preserve"> This </w:t>
      </w:r>
      <w:r w:rsidR="000063E0" w:rsidRPr="00BD5096">
        <w:rPr>
          <w:rFonts w:ascii="Avenir Book" w:hAnsi="Avenir Book"/>
          <w:color w:val="000000"/>
        </w:rPr>
        <w:t>dual role</w:t>
      </w:r>
      <w:r w:rsidR="003E0000" w:rsidRPr="00BD5096">
        <w:rPr>
          <w:rFonts w:ascii="Avenir Book" w:hAnsi="Avenir Book"/>
          <w:color w:val="000000"/>
        </w:rPr>
        <w:t xml:space="preserve"> </w:t>
      </w:r>
      <w:r w:rsidR="000063E0" w:rsidRPr="00BD5096">
        <w:rPr>
          <w:rFonts w:ascii="Avenir Book" w:hAnsi="Avenir Book"/>
          <w:color w:val="000000"/>
        </w:rPr>
        <w:t xml:space="preserve">creates the risk of political influence </w:t>
      </w:r>
      <w:r w:rsidR="000A1647" w:rsidRPr="00BD5096">
        <w:rPr>
          <w:rFonts w:ascii="Avenir Book" w:hAnsi="Avenir Book"/>
          <w:color w:val="000000"/>
        </w:rPr>
        <w:t>(</w:t>
      </w:r>
      <w:r w:rsidR="000063E0" w:rsidRPr="00BD5096">
        <w:rPr>
          <w:rFonts w:ascii="Avenir Book" w:hAnsi="Avenir Book"/>
          <w:color w:val="000000"/>
        </w:rPr>
        <w:t>or</w:t>
      </w:r>
      <w:r w:rsidR="000A1647" w:rsidRPr="00BD5096">
        <w:rPr>
          <w:rFonts w:ascii="Avenir Book" w:hAnsi="Avenir Book"/>
          <w:color w:val="000000"/>
        </w:rPr>
        <w:t xml:space="preserve"> its appearance)</w:t>
      </w:r>
      <w:r w:rsidR="000063E0" w:rsidRPr="00BD5096">
        <w:rPr>
          <w:rFonts w:ascii="Avenir Book" w:hAnsi="Avenir Book"/>
          <w:color w:val="000000"/>
        </w:rPr>
        <w:t xml:space="preserve"> on county decisions regarding </w:t>
      </w:r>
      <w:r w:rsidR="003E0000" w:rsidRPr="00BD5096">
        <w:rPr>
          <w:rFonts w:ascii="Avenir Book" w:hAnsi="Avenir Book"/>
          <w:color w:val="000000"/>
        </w:rPr>
        <w:t xml:space="preserve">funding </w:t>
      </w:r>
      <w:r w:rsidR="000063E0" w:rsidRPr="00BD5096">
        <w:rPr>
          <w:rFonts w:ascii="Avenir Book" w:hAnsi="Avenir Book"/>
          <w:color w:val="000000"/>
        </w:rPr>
        <w:t>and oversight of the public defender’s office</w:t>
      </w:r>
      <w:r w:rsidR="003E0000" w:rsidRPr="00BD5096">
        <w:rPr>
          <w:rFonts w:ascii="Avenir Book" w:hAnsi="Avenir Book"/>
          <w:color w:val="000000"/>
        </w:rPr>
        <w:t xml:space="preserve">.   </w:t>
      </w:r>
    </w:p>
    <w:p w14:paraId="29A20309" w14:textId="1178A16F" w:rsidR="000F6C1C" w:rsidRPr="00BD5096" w:rsidRDefault="000063E0" w:rsidP="00BD5096">
      <w:pPr>
        <w:pStyle w:val="ListParagraph"/>
        <w:spacing w:line="360" w:lineRule="auto"/>
        <w:ind w:left="0" w:firstLine="720"/>
        <w:jc w:val="both"/>
        <w:rPr>
          <w:rFonts w:ascii="Avenir Book" w:hAnsi="Avenir Book"/>
          <w:color w:val="000000"/>
        </w:rPr>
      </w:pPr>
      <w:r w:rsidRPr="00BD5096">
        <w:rPr>
          <w:rFonts w:ascii="Avenir Book" w:hAnsi="Avenir Book"/>
          <w:color w:val="000000"/>
        </w:rPr>
        <w:lastRenderedPageBreak/>
        <w:t>With respect to funding, the</w:t>
      </w:r>
      <w:r w:rsidR="000F6C1C" w:rsidRPr="00BD5096">
        <w:rPr>
          <w:rFonts w:ascii="Avenir Book" w:hAnsi="Avenir Book"/>
          <w:color w:val="000000"/>
        </w:rPr>
        <w:t xml:space="preserve"> risk </w:t>
      </w:r>
      <w:r w:rsidRPr="00BD5096">
        <w:rPr>
          <w:rFonts w:ascii="Avenir Book" w:hAnsi="Avenir Book"/>
          <w:color w:val="000000"/>
        </w:rPr>
        <w:t xml:space="preserve">of undue influence </w:t>
      </w:r>
      <w:r w:rsidR="000F6C1C" w:rsidRPr="00BD5096">
        <w:rPr>
          <w:rFonts w:ascii="Avenir Book" w:hAnsi="Avenir Book"/>
          <w:color w:val="000000"/>
        </w:rPr>
        <w:t xml:space="preserve">is particularly prevalent in states </w:t>
      </w:r>
      <w:r w:rsidRPr="00BD5096">
        <w:rPr>
          <w:rFonts w:ascii="Avenir Book" w:hAnsi="Avenir Book"/>
          <w:color w:val="000000"/>
        </w:rPr>
        <w:t>like Pennsylva</w:t>
      </w:r>
      <w:r w:rsidR="000A1647" w:rsidRPr="00BD5096">
        <w:rPr>
          <w:rFonts w:ascii="Avenir Book" w:hAnsi="Avenir Book"/>
          <w:color w:val="000000"/>
        </w:rPr>
        <w:t xml:space="preserve">nia </w:t>
      </w:r>
      <w:r w:rsidR="000F6C1C" w:rsidRPr="00BD5096">
        <w:rPr>
          <w:rFonts w:ascii="Avenir Book" w:hAnsi="Avenir Book"/>
          <w:color w:val="000000"/>
        </w:rPr>
        <w:t xml:space="preserve">that use </w:t>
      </w:r>
      <w:r w:rsidR="00250695">
        <w:rPr>
          <w:rFonts w:ascii="Avenir Book" w:hAnsi="Avenir Book"/>
          <w:color w:val="000000"/>
        </w:rPr>
        <w:t>a</w:t>
      </w:r>
      <w:r w:rsidR="000F6C1C" w:rsidRPr="00BD5096">
        <w:rPr>
          <w:rFonts w:ascii="Avenir Book" w:hAnsi="Avenir Book"/>
          <w:color w:val="000000"/>
        </w:rPr>
        <w:t xml:space="preserve"> </w:t>
      </w:r>
      <w:sdt>
        <w:sdtPr>
          <w:rPr>
            <w:rFonts w:ascii="Avenir Book" w:hAnsi="Avenir Book"/>
          </w:rPr>
          <w:tag w:val="goog_rdk_104"/>
          <w:id w:val="-681737701"/>
        </w:sdtPr>
        <w:sdtEndPr/>
        <w:sdtContent/>
      </w:sdt>
      <w:r w:rsidR="000F6C1C" w:rsidRPr="00BD5096">
        <w:rPr>
          <w:rFonts w:ascii="Avenir Book" w:hAnsi="Avenir Book"/>
          <w:i/>
          <w:color w:val="000000"/>
        </w:rPr>
        <w:t>county-funding model</w:t>
      </w:r>
      <w:r w:rsidR="000F6C1C" w:rsidRPr="00BD5096">
        <w:rPr>
          <w:rFonts w:ascii="Avenir Book" w:hAnsi="Avenir Book"/>
          <w:color w:val="000000"/>
        </w:rPr>
        <w:t>, in which local elected officials have the sole authority to fund indigent defense services.</w:t>
      </w:r>
      <w:r w:rsidR="000F6C1C" w:rsidRPr="00BD5096">
        <w:rPr>
          <w:rFonts w:ascii="Avenir Book" w:hAnsi="Avenir Book"/>
          <w:vertAlign w:val="superscript"/>
        </w:rPr>
        <w:endnoteReference w:id="75"/>
      </w:r>
      <w:r w:rsidR="000F6C1C" w:rsidRPr="00BD5096">
        <w:rPr>
          <w:rFonts w:ascii="Avenir Book" w:hAnsi="Avenir Book"/>
          <w:color w:val="000000"/>
        </w:rPr>
        <w:t xml:space="preserve"> Local officials </w:t>
      </w:r>
      <w:r w:rsidR="00EC5799" w:rsidRPr="00BD5096">
        <w:rPr>
          <w:rFonts w:ascii="Avenir Book" w:hAnsi="Avenir Book"/>
          <w:color w:val="000000"/>
        </w:rPr>
        <w:t>could therefore</w:t>
      </w:r>
      <w:r w:rsidR="000F6C1C" w:rsidRPr="00BD5096">
        <w:rPr>
          <w:rFonts w:ascii="Avenir Book" w:hAnsi="Avenir Book"/>
          <w:color w:val="000000"/>
        </w:rPr>
        <w:t xml:space="preserve"> potentially use their authority over budgets to influence the operations of indigent defense services.</w:t>
      </w:r>
      <w:r w:rsidR="000F6C1C" w:rsidRPr="00BD5096">
        <w:rPr>
          <w:rFonts w:ascii="Avenir Book" w:hAnsi="Avenir Book"/>
          <w:vertAlign w:val="superscript"/>
        </w:rPr>
        <w:endnoteReference w:id="76"/>
      </w:r>
      <w:r w:rsidR="000F6C1C" w:rsidRPr="00BD5096">
        <w:rPr>
          <w:rFonts w:ascii="Avenir Book" w:hAnsi="Avenir Book"/>
          <w:color w:val="000000"/>
        </w:rPr>
        <w:t xml:space="preserve"> The ABA recommends that if funding powers reside with the executive or legislative branch, they should not be used in a manner that interferes with</w:t>
      </w:r>
      <w:r w:rsidR="00250695">
        <w:rPr>
          <w:rFonts w:ascii="Avenir Book" w:hAnsi="Avenir Book"/>
          <w:color w:val="000000"/>
        </w:rPr>
        <w:t>,</w:t>
      </w:r>
      <w:r w:rsidR="000F6C1C" w:rsidRPr="00BD5096">
        <w:rPr>
          <w:rFonts w:ascii="Avenir Book" w:hAnsi="Avenir Book"/>
          <w:color w:val="000000"/>
        </w:rPr>
        <w:t xml:space="preserve"> or retaliates against</w:t>
      </w:r>
      <w:r w:rsidR="00250695">
        <w:rPr>
          <w:rFonts w:ascii="Avenir Book" w:hAnsi="Avenir Book"/>
          <w:color w:val="000000"/>
        </w:rPr>
        <w:t>,</w:t>
      </w:r>
      <w:r w:rsidR="000F6C1C" w:rsidRPr="00BD5096">
        <w:rPr>
          <w:rFonts w:ascii="Avenir Book" w:hAnsi="Avenir Book"/>
          <w:color w:val="000000"/>
        </w:rPr>
        <w:t xml:space="preserve"> professional judgments made during the delivery of indigent defense services.</w:t>
      </w:r>
      <w:r w:rsidR="000F6C1C" w:rsidRPr="00BD5096">
        <w:rPr>
          <w:rFonts w:ascii="Avenir Book" w:hAnsi="Avenir Book"/>
          <w:vertAlign w:val="superscript"/>
        </w:rPr>
        <w:endnoteReference w:id="77"/>
      </w:r>
    </w:p>
    <w:p w14:paraId="475B3DD2" w14:textId="5BD5EC6D" w:rsidR="000F6C1C" w:rsidRPr="00BD5096" w:rsidRDefault="000A1647" w:rsidP="00BD5096">
      <w:pPr>
        <w:spacing w:line="360" w:lineRule="auto"/>
        <w:ind w:firstLine="720"/>
        <w:jc w:val="both"/>
        <w:rPr>
          <w:rFonts w:ascii="Avenir Book" w:hAnsi="Avenir Book"/>
          <w:color w:val="000000"/>
        </w:rPr>
      </w:pPr>
      <w:r w:rsidRPr="00BD5096">
        <w:rPr>
          <w:rFonts w:ascii="Avenir Book" w:hAnsi="Avenir Book"/>
          <w:color w:val="000000"/>
        </w:rPr>
        <w:t xml:space="preserve">With respect to oversight, the risk of undue political influence is particularly acute when, as in Pennsylvania, </w:t>
      </w:r>
      <w:r w:rsidR="000F6C1C" w:rsidRPr="00BD5096">
        <w:rPr>
          <w:rFonts w:ascii="Avenir Book" w:hAnsi="Avenir Book"/>
          <w:color w:val="000000"/>
        </w:rPr>
        <w:t>chief defenders are appointed by a local elected official.</w:t>
      </w:r>
      <w:r w:rsidR="000F6C1C" w:rsidRPr="00BD5096">
        <w:rPr>
          <w:rFonts w:ascii="Avenir Book" w:hAnsi="Avenir Book"/>
          <w:color w:val="000000"/>
          <w:vertAlign w:val="superscript"/>
        </w:rPr>
        <w:endnoteReference w:id="78"/>
      </w:r>
      <w:r w:rsidR="000F6C1C" w:rsidRPr="00BD5096">
        <w:rPr>
          <w:rFonts w:ascii="Avenir Book" w:hAnsi="Avenir Book"/>
          <w:color w:val="000000"/>
        </w:rPr>
        <w:t xml:space="preserve"> In </w:t>
      </w:r>
      <w:r w:rsidRPr="00BD5096">
        <w:rPr>
          <w:rFonts w:ascii="Avenir Book" w:hAnsi="Avenir Book"/>
          <w:color w:val="000000"/>
        </w:rPr>
        <w:t>such</w:t>
      </w:r>
      <w:r w:rsidR="000F6C1C" w:rsidRPr="00BD5096">
        <w:rPr>
          <w:rFonts w:ascii="Avenir Book" w:hAnsi="Avenir Book"/>
          <w:color w:val="000000"/>
        </w:rPr>
        <w:t xml:space="preserve"> jurisdictions, political actors can choose to suspend or remove chief defenders from their appointments </w:t>
      </w:r>
      <w:sdt>
        <w:sdtPr>
          <w:rPr>
            <w:rFonts w:ascii="Avenir Book" w:hAnsi="Avenir Book"/>
          </w:rPr>
          <w:tag w:val="goog_rdk_121"/>
          <w:id w:val="2021965654"/>
        </w:sdtPr>
        <w:sdtEndPr/>
        <w:sdtContent/>
      </w:sdt>
      <w:r w:rsidR="000F6C1C" w:rsidRPr="00BD5096">
        <w:rPr>
          <w:rFonts w:ascii="Avenir Book" w:hAnsi="Avenir Book"/>
          <w:color w:val="000000"/>
        </w:rPr>
        <w:t>without cause or process.</w:t>
      </w:r>
      <w:r w:rsidR="000F6C1C" w:rsidRPr="00BD5096">
        <w:rPr>
          <w:rFonts w:ascii="Avenir Book" w:hAnsi="Avenir Book"/>
          <w:color w:val="000000"/>
          <w:vertAlign w:val="superscript"/>
        </w:rPr>
        <w:endnoteReference w:id="79"/>
      </w:r>
      <w:r w:rsidR="000F6C1C" w:rsidRPr="00BD5096">
        <w:rPr>
          <w:rFonts w:ascii="Avenir Book" w:hAnsi="Avenir Book"/>
          <w:color w:val="000000"/>
        </w:rPr>
        <w:t xml:space="preserve"> Chief defenders who are appointed by and serve at the pleasure of elected officials can feel pressure to take political objectives into consideration in their decision</w:t>
      </w:r>
      <w:r w:rsidR="00987E1A">
        <w:rPr>
          <w:rFonts w:ascii="Avenir Book" w:hAnsi="Avenir Book"/>
          <w:color w:val="000000"/>
        </w:rPr>
        <w:t>-</w:t>
      </w:r>
      <w:r w:rsidR="000F6C1C" w:rsidRPr="00BD5096">
        <w:rPr>
          <w:rFonts w:ascii="Avenir Book" w:hAnsi="Avenir Book"/>
          <w:color w:val="000000"/>
        </w:rPr>
        <w:t>making, which may be in tension with their professional responsibilities.</w:t>
      </w:r>
      <w:r w:rsidR="000F6C1C" w:rsidRPr="00BD5096">
        <w:rPr>
          <w:rFonts w:ascii="Avenir Book" w:hAnsi="Avenir Book"/>
          <w:color w:val="000000"/>
          <w:vertAlign w:val="superscript"/>
        </w:rPr>
        <w:endnoteReference w:id="80"/>
      </w:r>
      <w:r w:rsidR="000F6C1C" w:rsidRPr="00BD5096">
        <w:rPr>
          <w:rFonts w:ascii="Avenir Book" w:hAnsi="Avenir Book"/>
          <w:color w:val="000000"/>
        </w:rPr>
        <w:t xml:space="preserve"> For example, chief defenders may be reluctant to support a relevant criminal legal reform policy that is perceived to be contrary to that of the executive, or to make an issue of the inadequacy of their budget for fear of political repercussions.</w:t>
      </w:r>
      <w:r w:rsidR="000F6C1C" w:rsidRPr="00BD5096">
        <w:rPr>
          <w:rFonts w:ascii="Avenir Book" w:hAnsi="Avenir Book"/>
          <w:color w:val="000000"/>
          <w:vertAlign w:val="superscript"/>
        </w:rPr>
        <w:endnoteReference w:id="81"/>
      </w:r>
      <w:r w:rsidR="00250695">
        <w:rPr>
          <w:rFonts w:ascii="Avenir Book" w:hAnsi="Avenir Book"/>
          <w:color w:val="000000"/>
        </w:rPr>
        <w:t xml:space="preserve"> </w:t>
      </w:r>
      <w:r w:rsidR="000F6C1C" w:rsidRPr="00BD5096">
        <w:rPr>
          <w:rFonts w:ascii="Avenir Book" w:hAnsi="Avenir Book"/>
          <w:color w:val="000000"/>
        </w:rPr>
        <w:t>As a result, a chief defender may feel pressure to bow to political pressures originating from their appointing authority, which might ultimately not be in absolute alignment with their charge to elevate the needs of indigent defendant clients.</w:t>
      </w:r>
      <w:r w:rsidR="000F6C1C" w:rsidRPr="00BD5096">
        <w:rPr>
          <w:rFonts w:ascii="Avenir Book" w:hAnsi="Avenir Book"/>
          <w:color w:val="000000"/>
          <w:vertAlign w:val="superscript"/>
        </w:rPr>
        <w:endnoteReference w:id="82"/>
      </w:r>
      <w:r w:rsidR="000F6C1C" w:rsidRPr="00BD5096">
        <w:rPr>
          <w:rFonts w:ascii="Avenir Book" w:hAnsi="Avenir Book"/>
          <w:color w:val="000000"/>
        </w:rPr>
        <w:t xml:space="preserve"> </w:t>
      </w:r>
    </w:p>
    <w:p w14:paraId="28BC6F47" w14:textId="2598383F" w:rsidR="00BD5096" w:rsidRDefault="00CC7717" w:rsidP="00F85AC7">
      <w:pPr>
        <w:spacing w:line="360" w:lineRule="auto"/>
        <w:ind w:firstLine="720"/>
        <w:contextualSpacing/>
        <w:jc w:val="both"/>
        <w:rPr>
          <w:rFonts w:ascii="Avenir Book" w:hAnsi="Avenir Book"/>
          <w:color w:val="000000"/>
        </w:rPr>
      </w:pPr>
      <w:r w:rsidRPr="00BD5096">
        <w:rPr>
          <w:rFonts w:ascii="Avenir Book" w:hAnsi="Avenir Book"/>
          <w:color w:val="000000"/>
        </w:rPr>
        <w:t xml:space="preserve">Finally, </w:t>
      </w:r>
      <w:r w:rsidR="006F3DDC" w:rsidRPr="00BD5096">
        <w:rPr>
          <w:rFonts w:ascii="Avenir Book" w:hAnsi="Avenir Book"/>
          <w:color w:val="000000"/>
        </w:rPr>
        <w:t xml:space="preserve">the absence of a dedicated human resources professional </w:t>
      </w:r>
      <w:r w:rsidR="004A6520" w:rsidRPr="00BD5096">
        <w:rPr>
          <w:rFonts w:ascii="Avenir Book" w:hAnsi="Avenir Book"/>
          <w:color w:val="000000"/>
        </w:rPr>
        <w:t>in a</w:t>
      </w:r>
      <w:r w:rsidR="006F3DDC" w:rsidRPr="00BD5096">
        <w:rPr>
          <w:rFonts w:ascii="Avenir Book" w:hAnsi="Avenir Book"/>
          <w:color w:val="000000"/>
        </w:rPr>
        <w:t xml:space="preserve"> defender’s office </w:t>
      </w:r>
      <w:r w:rsidR="00250695">
        <w:rPr>
          <w:rFonts w:ascii="Avenir Book" w:hAnsi="Avenir Book"/>
          <w:color w:val="000000"/>
        </w:rPr>
        <w:t xml:space="preserve">can </w:t>
      </w:r>
      <w:r w:rsidR="006F3DDC" w:rsidRPr="00BD5096">
        <w:rPr>
          <w:rFonts w:ascii="Avenir Book" w:hAnsi="Avenir Book"/>
          <w:color w:val="000000"/>
        </w:rPr>
        <w:t xml:space="preserve">exacerbate the potential for external influence.  </w:t>
      </w:r>
      <w:r w:rsidR="00C630F0" w:rsidRPr="00BD5096">
        <w:rPr>
          <w:rFonts w:ascii="Avenir Book" w:hAnsi="Avenir Book"/>
          <w:color w:val="000000"/>
        </w:rPr>
        <w:t xml:space="preserve">When there are no structures in place to facilitate internal communication around employment concerns at public defense offices, employees are left with the sole option of bringing those concerns to someone outside of the organization. This threatens client confidentiality, because a human resources complaint may require a public defender to discuss case details. In </w:t>
      </w:r>
      <w:r w:rsidR="00C630F0" w:rsidRPr="00BD5096">
        <w:rPr>
          <w:rFonts w:ascii="Avenir Book" w:hAnsi="Avenir Book"/>
          <w:color w:val="000000"/>
        </w:rPr>
        <w:lastRenderedPageBreak/>
        <w:t xml:space="preserve">addition, external involvement in employment concerns can create tensions both for the public defender organization and the outside entity that is designated (or feels a responsibility) to address those concerns. This impedes both </w:t>
      </w:r>
      <w:r w:rsidR="00250695">
        <w:rPr>
          <w:rFonts w:ascii="Avenir Book" w:hAnsi="Avenir Book"/>
          <w:color w:val="000000"/>
        </w:rPr>
        <w:t>o</w:t>
      </w:r>
      <w:r w:rsidR="00C630F0" w:rsidRPr="00BD5096">
        <w:rPr>
          <w:rFonts w:ascii="Avenir Book" w:hAnsi="Avenir Book"/>
          <w:color w:val="000000"/>
        </w:rPr>
        <w:t xml:space="preserve">ffice independence and </w:t>
      </w:r>
      <w:r w:rsidR="00250695">
        <w:rPr>
          <w:rFonts w:ascii="Avenir Book" w:hAnsi="Avenir Book"/>
          <w:color w:val="000000"/>
        </w:rPr>
        <w:t xml:space="preserve">the cultivation of </w:t>
      </w:r>
      <w:r w:rsidR="00C630F0" w:rsidRPr="00BD5096">
        <w:rPr>
          <w:rFonts w:ascii="Avenir Book" w:hAnsi="Avenir Book"/>
          <w:color w:val="000000"/>
        </w:rPr>
        <w:t xml:space="preserve">a transparent, positive workplace culture. </w:t>
      </w:r>
      <w:bookmarkStart w:id="14" w:name="_Toc62730369"/>
    </w:p>
    <w:p w14:paraId="5C81D11A" w14:textId="77777777" w:rsidR="00F85AC7" w:rsidRPr="00F85AC7" w:rsidRDefault="00F85AC7" w:rsidP="00F85AC7">
      <w:pPr>
        <w:spacing w:line="360" w:lineRule="auto"/>
        <w:ind w:firstLine="720"/>
        <w:contextualSpacing/>
        <w:jc w:val="both"/>
        <w:rPr>
          <w:rFonts w:ascii="Avenir Book" w:hAnsi="Avenir Book"/>
          <w:color w:val="000000"/>
        </w:rPr>
      </w:pPr>
    </w:p>
    <w:p w14:paraId="07772A9C" w14:textId="6005C70A" w:rsidR="006F3DDC" w:rsidRDefault="006F3DDC" w:rsidP="001161E1">
      <w:pPr>
        <w:pStyle w:val="Head3"/>
      </w:pPr>
      <w:r>
        <w:t>Judicial Influence</w:t>
      </w:r>
      <w:bookmarkEnd w:id="14"/>
    </w:p>
    <w:p w14:paraId="01AA55ED" w14:textId="77777777" w:rsidR="006F3DDC" w:rsidRPr="00BD5096" w:rsidRDefault="006F3DDC" w:rsidP="00BD5096">
      <w:pPr>
        <w:spacing w:line="360" w:lineRule="auto"/>
        <w:ind w:firstLine="720"/>
        <w:jc w:val="both"/>
        <w:rPr>
          <w:rFonts w:ascii="Avenir Book" w:hAnsi="Avenir Book"/>
          <w:color w:val="000000"/>
        </w:rPr>
      </w:pPr>
      <w:r w:rsidRPr="00BD5096">
        <w:rPr>
          <w:rFonts w:ascii="Avenir Book" w:hAnsi="Avenir Book"/>
          <w:color w:val="000000"/>
        </w:rPr>
        <w:t>The judicial branch is tasked with being a “neutral arbiter” in judicial proceedings, interpreting the laws and regulations of the jurisdiction, and ensuring that all parties are afforded due process.</w:t>
      </w:r>
      <w:r w:rsidRPr="00BD5096">
        <w:rPr>
          <w:rFonts w:ascii="Avenir Book" w:hAnsi="Avenir Book"/>
          <w:color w:val="000000"/>
          <w:vertAlign w:val="superscript"/>
        </w:rPr>
        <w:endnoteReference w:id="83"/>
      </w:r>
      <w:r w:rsidRPr="00BD5096">
        <w:rPr>
          <w:rFonts w:ascii="Avenir Book" w:hAnsi="Avenir Book"/>
          <w:color w:val="000000"/>
        </w:rPr>
        <w:t xml:space="preserve"> This position of neutrality requires the judicial branch to </w:t>
      </w:r>
      <w:sdt>
        <w:sdtPr>
          <w:rPr>
            <w:rFonts w:ascii="Avenir Book" w:hAnsi="Avenir Book"/>
          </w:rPr>
          <w:tag w:val="goog_rdk_86"/>
          <w:id w:val="849837528"/>
        </w:sdtPr>
        <w:sdtEndPr/>
        <w:sdtContent/>
      </w:sdt>
      <w:r w:rsidRPr="00BD5096">
        <w:rPr>
          <w:rFonts w:ascii="Avenir Book" w:hAnsi="Avenir Book"/>
          <w:color w:val="000000"/>
        </w:rPr>
        <w:t>equally weigh the needs of those prosecuting indigent defendants with those of defenders representing indigent defendants.</w:t>
      </w:r>
      <w:r w:rsidRPr="00BD5096">
        <w:rPr>
          <w:rFonts w:ascii="Avenir Book" w:hAnsi="Avenir Book"/>
          <w:color w:val="000000"/>
          <w:vertAlign w:val="superscript"/>
        </w:rPr>
        <w:endnoteReference w:id="84"/>
      </w:r>
      <w:r w:rsidRPr="00BD5096">
        <w:rPr>
          <w:rFonts w:ascii="Avenir Book" w:hAnsi="Avenir Book"/>
          <w:color w:val="000000"/>
        </w:rPr>
        <w:t xml:space="preserve"> Defender systems subject to undue judicial influence “often follow or adjust to the needs of each judge in each court, rather than focusing on providing constitutionally effective services for each and every defendant.”</w:t>
      </w:r>
      <w:r w:rsidRPr="00BD5096">
        <w:rPr>
          <w:rFonts w:ascii="Avenir Book" w:hAnsi="Avenir Book"/>
          <w:color w:val="000000"/>
          <w:vertAlign w:val="superscript"/>
        </w:rPr>
        <w:endnoteReference w:id="85"/>
      </w:r>
    </w:p>
    <w:p w14:paraId="7EAF21DC" w14:textId="5CDA8A46" w:rsidR="006F3DDC" w:rsidRPr="00BD5096" w:rsidRDefault="006F3DDC" w:rsidP="00BD5096">
      <w:pPr>
        <w:spacing w:line="360" w:lineRule="auto"/>
        <w:jc w:val="both"/>
        <w:rPr>
          <w:rFonts w:ascii="Avenir Book" w:hAnsi="Avenir Book"/>
          <w:color w:val="000000"/>
        </w:rPr>
      </w:pPr>
      <w:r w:rsidRPr="00BD5096">
        <w:rPr>
          <w:rFonts w:ascii="Avenir Book" w:hAnsi="Avenir Book"/>
        </w:rPr>
        <w:tab/>
      </w:r>
      <w:r w:rsidRPr="00BD5096">
        <w:rPr>
          <w:rFonts w:ascii="Avenir Book" w:hAnsi="Avenir Book"/>
          <w:color w:val="000000"/>
        </w:rPr>
        <w:t>While undue judicial influence is a greater risk in jurisdictions that use judicially-assigned counsel or contract attorney systems for indigent defense,</w:t>
      </w:r>
      <w:r w:rsidRPr="00BD5096">
        <w:rPr>
          <w:rFonts w:ascii="Avenir Book" w:hAnsi="Avenir Book"/>
          <w:color w:val="000000"/>
          <w:vertAlign w:val="superscript"/>
        </w:rPr>
        <w:endnoteReference w:id="86"/>
      </w:r>
      <w:r w:rsidRPr="00BD5096">
        <w:rPr>
          <w:rFonts w:ascii="Avenir Book" w:hAnsi="Avenir Book"/>
          <w:color w:val="000000"/>
        </w:rPr>
        <w:t xml:space="preserve"> or in systems in which judges appoint (or have influence over the appointment of) chief defenders,</w:t>
      </w:r>
      <w:r w:rsidRPr="00BD5096">
        <w:rPr>
          <w:rFonts w:ascii="Avenir Book" w:hAnsi="Avenir Book"/>
          <w:color w:val="000000"/>
          <w:vertAlign w:val="superscript"/>
        </w:rPr>
        <w:endnoteReference w:id="87"/>
      </w:r>
      <w:r w:rsidR="00DE2F78" w:rsidRPr="00DC7C47">
        <w:rPr>
          <w:rStyle w:val="EndnoteReference"/>
          <w:rFonts w:ascii="Avenir Book" w:hAnsi="Avenir Book"/>
          <w:color w:val="FFFFFF" w:themeColor="background1"/>
          <w:sz w:val="2"/>
          <w:szCs w:val="2"/>
        </w:rPr>
        <w:endnoteReference w:id="88"/>
      </w:r>
      <w:r w:rsidR="00DE2F78" w:rsidRPr="00DC7C47">
        <w:rPr>
          <w:rStyle w:val="EndnoteReference"/>
          <w:rFonts w:ascii="Avenir Book" w:hAnsi="Avenir Book"/>
          <w:color w:val="FFFFFF" w:themeColor="background1"/>
          <w:sz w:val="2"/>
          <w:szCs w:val="2"/>
        </w:rPr>
        <w:endnoteReference w:id="89"/>
      </w:r>
      <w:r w:rsidRPr="00BD5096">
        <w:rPr>
          <w:rFonts w:ascii="Avenir Book" w:hAnsi="Avenir Book"/>
          <w:color w:val="000000"/>
        </w:rPr>
        <w:t xml:space="preserve"> it can also arise in other situations — for example, when judges are in contact with the chief public defender about the performance or behavior of individual attorneys; or when individual judges and individual counsel are “repeat players,” causing counsel to consider how their actions in </w:t>
      </w:r>
      <w:r w:rsidR="00250695">
        <w:rPr>
          <w:rFonts w:ascii="Avenir Book" w:hAnsi="Avenir Book"/>
          <w:color w:val="000000"/>
        </w:rPr>
        <w:t>a</w:t>
      </w:r>
      <w:r w:rsidRPr="00BD5096">
        <w:rPr>
          <w:rFonts w:ascii="Avenir Book" w:hAnsi="Avenir Book"/>
          <w:color w:val="000000"/>
        </w:rPr>
        <w:t xml:space="preserve"> current case might influence their standing in future cases before the same judge.</w:t>
      </w:r>
      <w:sdt>
        <w:sdtPr>
          <w:rPr>
            <w:rFonts w:ascii="Avenir Book" w:hAnsi="Avenir Book"/>
          </w:rPr>
          <w:tag w:val="goog_rdk_101"/>
          <w:id w:val="625582238"/>
        </w:sdtPr>
        <w:sdtEndPr/>
        <w:sdtContent/>
      </w:sdt>
      <w:r w:rsidRPr="00BD5096">
        <w:rPr>
          <w:rFonts w:ascii="Avenir Book" w:hAnsi="Avenir Book"/>
          <w:color w:val="000000"/>
        </w:rPr>
        <w:t xml:space="preserve"> </w:t>
      </w:r>
    </w:p>
    <w:p w14:paraId="319AC430" w14:textId="3B3E5829" w:rsidR="00BD5096" w:rsidRDefault="006F3DDC" w:rsidP="00F85AC7">
      <w:pPr>
        <w:spacing w:line="360" w:lineRule="auto"/>
        <w:ind w:firstLine="720"/>
        <w:jc w:val="both"/>
        <w:rPr>
          <w:rFonts w:ascii="Avenir Book" w:hAnsi="Avenir Book"/>
          <w:color w:val="000000"/>
        </w:rPr>
      </w:pPr>
      <w:r w:rsidRPr="00BD5096">
        <w:rPr>
          <w:rFonts w:ascii="Avenir Book" w:hAnsi="Avenir Book"/>
          <w:color w:val="000000"/>
        </w:rPr>
        <w:t xml:space="preserve">Michigan serves as an example of a state that has enacted rules in an attempt to ensure that the inability to pay for counsel does not dictate whether a defendant receives representation that is free from judicial influence. Michigan Indigent Defense Commission (MIDC) promulgated </w:t>
      </w:r>
      <w:r w:rsidR="00250695">
        <w:rPr>
          <w:rFonts w:ascii="Avenir Book" w:hAnsi="Avenir Book"/>
          <w:color w:val="000000"/>
        </w:rPr>
        <w:t xml:space="preserve">standards </w:t>
      </w:r>
      <w:r w:rsidRPr="00BD5096">
        <w:rPr>
          <w:rFonts w:ascii="Avenir Book" w:hAnsi="Avenir Book"/>
          <w:color w:val="000000"/>
        </w:rPr>
        <w:t xml:space="preserve">to “ensure[ ] that public defense attorneys are subject to judicial supervision only in the same manner and to the same extent as </w:t>
      </w:r>
      <w:r w:rsidRPr="00BD5096">
        <w:rPr>
          <w:rFonts w:ascii="Avenir Book" w:hAnsi="Avenir Book"/>
          <w:color w:val="000000"/>
        </w:rPr>
        <w:lastRenderedPageBreak/>
        <w:t>retained counsel or the prosecution….”</w:t>
      </w:r>
      <w:r w:rsidRPr="00BD5096">
        <w:rPr>
          <w:rFonts w:ascii="Avenir Book" w:hAnsi="Avenir Book"/>
          <w:color w:val="000000"/>
          <w:vertAlign w:val="superscript"/>
        </w:rPr>
        <w:endnoteReference w:id="90"/>
      </w:r>
      <w:r w:rsidRPr="00BD5096">
        <w:rPr>
          <w:rFonts w:ascii="Avenir Book" w:hAnsi="Avenir Book"/>
          <w:color w:val="000000"/>
        </w:rPr>
        <w:t xml:space="preserve"> Michigan State Court Administrator Tom Boyd explained that, “the requirement that public defense attorneys and the judiciary operate independent of one another will serve the court’s role in protecting the constitutional right to counsel and enhance the ability of appointed counsel to advocate with vigor and innovation, making for a more just and equitable system.”</w:t>
      </w:r>
      <w:r w:rsidRPr="00BD5096">
        <w:rPr>
          <w:rFonts w:ascii="Avenir Book" w:hAnsi="Avenir Book"/>
          <w:color w:val="000000"/>
          <w:vertAlign w:val="superscript"/>
        </w:rPr>
        <w:endnoteReference w:id="91"/>
      </w:r>
      <w:r w:rsidRPr="00BD5096">
        <w:rPr>
          <w:rFonts w:ascii="Avenir Book" w:hAnsi="Avenir Book"/>
          <w:color w:val="000000"/>
        </w:rPr>
        <w:t> </w:t>
      </w:r>
      <w:bookmarkStart w:id="15" w:name="_Toc62730370"/>
    </w:p>
    <w:p w14:paraId="26A98473" w14:textId="77777777" w:rsidR="00F85AC7" w:rsidRPr="00F85AC7" w:rsidRDefault="00F85AC7" w:rsidP="00F85AC7">
      <w:pPr>
        <w:spacing w:line="360" w:lineRule="auto"/>
        <w:ind w:firstLine="720"/>
        <w:jc w:val="both"/>
        <w:rPr>
          <w:rFonts w:ascii="Avenir Book" w:hAnsi="Avenir Book"/>
          <w:color w:val="000000"/>
        </w:rPr>
      </w:pPr>
    </w:p>
    <w:p w14:paraId="5D638B55" w14:textId="196526ED" w:rsidR="00A64C46" w:rsidRDefault="00423DEE" w:rsidP="001161E1">
      <w:pPr>
        <w:pStyle w:val="Head3"/>
      </w:pPr>
      <w:r>
        <w:t>The Landscape in Montgomery County</w:t>
      </w:r>
      <w:bookmarkEnd w:id="15"/>
    </w:p>
    <w:p w14:paraId="46514CF9" w14:textId="68D71AD2" w:rsidR="00A64C46" w:rsidRPr="00BD5096" w:rsidRDefault="00A64C46" w:rsidP="00BD5096">
      <w:pPr>
        <w:spacing w:line="360" w:lineRule="auto"/>
        <w:ind w:firstLine="720"/>
        <w:jc w:val="both"/>
        <w:rPr>
          <w:rFonts w:ascii="Avenir Book" w:hAnsi="Avenir Book"/>
        </w:rPr>
      </w:pPr>
      <w:r w:rsidRPr="00BD5096">
        <w:rPr>
          <w:rFonts w:ascii="Avenir Book" w:hAnsi="Avenir Book"/>
        </w:rPr>
        <w:t>To learn more about the culture and practices of the Montgomery County Office of the Public Defender, and in particular how Office employees see the Office’s relationship with the County</w:t>
      </w:r>
      <w:r w:rsidR="005833BE" w:rsidRPr="00BD5096">
        <w:rPr>
          <w:rFonts w:ascii="Avenir Book" w:hAnsi="Avenir Book"/>
        </w:rPr>
        <w:t xml:space="preserve"> and the judiciary</w:t>
      </w:r>
      <w:r w:rsidRPr="00BD5096">
        <w:rPr>
          <w:rFonts w:ascii="Avenir Book" w:hAnsi="Avenir Book"/>
        </w:rPr>
        <w:t>, we interviewed several attorneys from the office, including those at staff attorney, team leader, and director levels.</w:t>
      </w:r>
      <w:r w:rsidRPr="00BD5096">
        <w:rPr>
          <w:rFonts w:ascii="Avenir Book" w:hAnsi="Avenir Book"/>
          <w:vertAlign w:val="superscript"/>
        </w:rPr>
        <w:endnoteReference w:id="92"/>
      </w:r>
      <w:r w:rsidRPr="00BD5096">
        <w:rPr>
          <w:rFonts w:ascii="Avenir Book" w:hAnsi="Avenir Book"/>
        </w:rPr>
        <w:t xml:space="preserve"> We inquired about any issues relating to the independence of the Office of the Public Defender and whether they have experienced any outside influences that interfere with the office’s operations. </w:t>
      </w:r>
    </w:p>
    <w:p w14:paraId="4EE5150B" w14:textId="6A1FD884" w:rsidR="00A64C46" w:rsidRPr="00BD5096" w:rsidRDefault="00A64C46" w:rsidP="00BD5096">
      <w:pPr>
        <w:spacing w:line="360" w:lineRule="auto"/>
        <w:ind w:firstLine="720"/>
        <w:jc w:val="both"/>
        <w:rPr>
          <w:rFonts w:ascii="Avenir Book" w:hAnsi="Avenir Book"/>
        </w:rPr>
      </w:pPr>
      <w:r w:rsidRPr="00BD5096">
        <w:rPr>
          <w:rFonts w:ascii="Avenir Book" w:hAnsi="Avenir Book"/>
        </w:rPr>
        <w:t>While several attorneys felt that the Office operates with a high level of independence</w:t>
      </w:r>
      <w:r w:rsidR="006F6CCC" w:rsidRPr="00BD5096">
        <w:rPr>
          <w:rFonts w:ascii="Avenir Book" w:hAnsi="Avenir Book"/>
        </w:rPr>
        <w:t xml:space="preserve"> notwithstanding its position under county supervision</w:t>
      </w:r>
      <w:r w:rsidRPr="00BD5096">
        <w:rPr>
          <w:rFonts w:ascii="Avenir Book" w:hAnsi="Avenir Book"/>
        </w:rPr>
        <w:t>, others stated that the office is, in some ways, “beholden” to the county government and judiciary. For some of those we interviewed, concern about the Office’s independence was heightened by the 2020 dismissals of the Office’s leadership.</w:t>
      </w:r>
      <w:r w:rsidR="00FE416E" w:rsidRPr="00BD5096">
        <w:rPr>
          <w:rFonts w:ascii="Avenir Book" w:hAnsi="Avenir Book"/>
        </w:rPr>
        <w:t xml:space="preserve"> </w:t>
      </w:r>
      <w:r w:rsidR="00CD4E22" w:rsidRPr="00BD5096">
        <w:rPr>
          <w:rFonts w:ascii="Avenir Book" w:hAnsi="Avenir Book"/>
        </w:rPr>
        <w:t>A repeated theme that emerged in our interviews was a sense by defenders that the county’s interests were sometimes fundamentally at odds with those of the Office. As one attorney put it: “Fighting for the rights of marginalized people is politically unpopular.”</w:t>
      </w:r>
      <w:r w:rsidR="00B831FD">
        <w:rPr>
          <w:rFonts w:ascii="Avenir Book" w:hAnsi="Avenir Book"/>
        </w:rPr>
        <w:t xml:space="preserve"> Notwithstanding those sentiments, we did not hear a widespread desire for the Office to become an independent non-profit corporation, or to otherwise separate from county administration.  </w:t>
      </w:r>
    </w:p>
    <w:p w14:paraId="656EE5E3" w14:textId="77777777" w:rsidR="00173FCF" w:rsidRPr="00BD5096" w:rsidRDefault="00173FCF" w:rsidP="00BD5096">
      <w:pPr>
        <w:spacing w:line="360" w:lineRule="auto"/>
        <w:ind w:firstLine="720"/>
        <w:jc w:val="both"/>
        <w:rPr>
          <w:rFonts w:ascii="Avenir Book" w:hAnsi="Avenir Book"/>
        </w:rPr>
      </w:pPr>
      <w:r w:rsidRPr="00BD5096">
        <w:rPr>
          <w:rFonts w:ascii="Avenir Book" w:hAnsi="Avenir Book"/>
        </w:rPr>
        <w:lastRenderedPageBreak/>
        <w:t>The Montgomery Country Office of the Public Defender currently has no dedicated internal Human Resources department, so the Office must use the county’s Human Resources team.</w:t>
      </w:r>
      <w:r w:rsidRPr="00BD5096">
        <w:rPr>
          <w:rFonts w:ascii="Avenir Book" w:hAnsi="Avenir Book"/>
          <w:vertAlign w:val="superscript"/>
        </w:rPr>
        <w:endnoteReference w:id="93"/>
      </w:r>
      <w:r w:rsidRPr="00BD5096">
        <w:rPr>
          <w:rFonts w:ascii="Avenir Book" w:hAnsi="Avenir Book"/>
        </w:rPr>
        <w:t xml:space="preserve"> While most interviewees expressed no concern about this, others mentioned that employees of the Office sometimes bring their human resources concerns directly to the Commission or other employees in the executive branch.</w:t>
      </w:r>
      <w:r w:rsidRPr="00BD5096">
        <w:rPr>
          <w:rFonts w:ascii="Avenir Book" w:hAnsi="Avenir Book"/>
          <w:vertAlign w:val="superscript"/>
        </w:rPr>
        <w:endnoteReference w:id="94"/>
      </w:r>
    </w:p>
    <w:p w14:paraId="3A3A1E17" w14:textId="72A66893" w:rsidR="00BD5096" w:rsidRDefault="00B709E8" w:rsidP="00F85AC7">
      <w:pPr>
        <w:spacing w:line="360" w:lineRule="auto"/>
        <w:ind w:firstLine="720"/>
        <w:jc w:val="both"/>
        <w:rPr>
          <w:rFonts w:ascii="Avenir Book" w:hAnsi="Avenir Book"/>
        </w:rPr>
      </w:pPr>
      <w:r w:rsidRPr="00BD5096">
        <w:rPr>
          <w:rFonts w:ascii="Avenir Book" w:hAnsi="Avenir Book"/>
        </w:rPr>
        <w:t>In Montgomery County, attorneys are divided into several “trial teams” that are assigned to a particular courtroom.</w:t>
      </w:r>
      <w:r w:rsidRPr="00BD5096">
        <w:rPr>
          <w:rFonts w:ascii="Avenir Book" w:hAnsi="Avenir Book"/>
          <w:vertAlign w:val="superscript"/>
        </w:rPr>
        <w:endnoteReference w:id="95"/>
      </w:r>
      <w:r w:rsidRPr="00BD5096">
        <w:rPr>
          <w:rFonts w:ascii="Avenir Book" w:hAnsi="Avenir Book"/>
        </w:rPr>
        <w:t xml:space="preserve"> </w:t>
      </w:r>
      <w:r w:rsidR="00A471A1" w:rsidRPr="00BD5096">
        <w:rPr>
          <w:rFonts w:ascii="Avenir Book" w:hAnsi="Avenir Book"/>
        </w:rPr>
        <w:t>Some attorneys expressed a belief that it was a positive that public defenders are assigned to specific judges because they were able to “get to know how that judge thinks” to better “maneuver those cases” for their clients. However, other</w:t>
      </w:r>
      <w:r w:rsidR="00281734" w:rsidRPr="00BD5096">
        <w:rPr>
          <w:rFonts w:ascii="Avenir Book" w:hAnsi="Avenir Book"/>
        </w:rPr>
        <w:t xml:space="preserve"> attorneys felt that judges have too much influence wit</w:t>
      </w:r>
      <w:r w:rsidR="00CD4E22" w:rsidRPr="00BD5096">
        <w:rPr>
          <w:rFonts w:ascii="Avenir Book" w:hAnsi="Avenir Book"/>
        </w:rPr>
        <w:t>hin the Public Defender Office. For instance, one attorney reported</w:t>
      </w:r>
      <w:r w:rsidR="00281734" w:rsidRPr="00BD5096">
        <w:rPr>
          <w:rFonts w:ascii="Avenir Book" w:hAnsi="Avenir Book"/>
        </w:rPr>
        <w:t xml:space="preserve"> that judges have in the past reached out to Office leadership to complain about assistant defenders assigned to their courtroom and have them reassigned or even fired</w:t>
      </w:r>
      <w:r w:rsidR="00CD4E22" w:rsidRPr="00BD5096">
        <w:rPr>
          <w:rFonts w:ascii="Avenir Book" w:hAnsi="Avenir Book"/>
        </w:rPr>
        <w:t>; another reported that there was significant judicial pushback to leadership when line attorneys aggressively challenged bail conditions</w:t>
      </w:r>
      <w:r w:rsidR="00A471A1" w:rsidRPr="00BD5096">
        <w:rPr>
          <w:rFonts w:ascii="Avenir Book" w:hAnsi="Avenir Book"/>
        </w:rPr>
        <w:t xml:space="preserve">; still another expressed that they “felt their legitimacy was being undermined,” and were looked at as being “unreasonable” if they challenged judges' decisions </w:t>
      </w:r>
      <w:r w:rsidR="00FF658A" w:rsidRPr="00BD5096">
        <w:rPr>
          <w:rFonts w:ascii="Avenir Book" w:hAnsi="Avenir Book"/>
        </w:rPr>
        <w:t>too often.</w:t>
      </w:r>
      <w:r w:rsidR="00CD4E22" w:rsidRPr="00BD5096">
        <w:rPr>
          <w:rFonts w:ascii="Avenir Book" w:hAnsi="Avenir Book"/>
        </w:rPr>
        <w:t xml:space="preserve"> One attorney summed up the inherent </w:t>
      </w:r>
      <w:r w:rsidR="006F6CCC" w:rsidRPr="00BD5096">
        <w:rPr>
          <w:rFonts w:ascii="Avenir Book" w:hAnsi="Avenir Book"/>
        </w:rPr>
        <w:t>tensions within</w:t>
      </w:r>
      <w:r w:rsidR="00CD4E22" w:rsidRPr="00BD5096">
        <w:rPr>
          <w:rFonts w:ascii="Avenir Book" w:hAnsi="Avenir Book"/>
        </w:rPr>
        <w:t xml:space="preserve"> the current courtroom-based team structure</w:t>
      </w:r>
      <w:r w:rsidR="006F6CCC" w:rsidRPr="00BD5096">
        <w:rPr>
          <w:rFonts w:ascii="Avenir Book" w:hAnsi="Avenir Book"/>
        </w:rPr>
        <w:t xml:space="preserve"> in this way: “A</w:t>
      </w:r>
      <w:r w:rsidR="00CD4E22" w:rsidRPr="00BD5096">
        <w:rPr>
          <w:rFonts w:ascii="Avenir Book" w:hAnsi="Avenir Book"/>
        </w:rPr>
        <w:t>ttorneys want credibility with the judge, and you don’t want to seem difficult all the time.”</w:t>
      </w:r>
      <w:bookmarkStart w:id="16" w:name="_Toc62730371"/>
    </w:p>
    <w:p w14:paraId="7506D153" w14:textId="77777777" w:rsidR="00F85AC7" w:rsidRPr="00F85AC7" w:rsidRDefault="00F85AC7" w:rsidP="00F85AC7">
      <w:pPr>
        <w:spacing w:line="360" w:lineRule="auto"/>
        <w:ind w:firstLine="720"/>
        <w:jc w:val="both"/>
        <w:rPr>
          <w:rFonts w:ascii="Avenir Book" w:hAnsi="Avenir Book"/>
        </w:rPr>
      </w:pPr>
    </w:p>
    <w:p w14:paraId="6F3F2574" w14:textId="60E7BA40" w:rsidR="00F01684" w:rsidRPr="001161E1" w:rsidRDefault="005833BE" w:rsidP="001161E1">
      <w:pPr>
        <w:pStyle w:val="Head3"/>
      </w:pPr>
      <w:r w:rsidRPr="001161E1">
        <w:t xml:space="preserve">Structures </w:t>
      </w:r>
      <w:r w:rsidR="0023490F" w:rsidRPr="001161E1">
        <w:t xml:space="preserve">That </w:t>
      </w:r>
      <w:r w:rsidRPr="001161E1">
        <w:t>Can Mitigate External Influence</w:t>
      </w:r>
      <w:bookmarkEnd w:id="16"/>
    </w:p>
    <w:p w14:paraId="4C082B0C" w14:textId="77777777" w:rsidR="00B831FD" w:rsidRDefault="002700FF" w:rsidP="00BD5096">
      <w:pPr>
        <w:spacing w:line="360" w:lineRule="auto"/>
        <w:ind w:firstLine="720"/>
        <w:jc w:val="both"/>
        <w:rPr>
          <w:rFonts w:ascii="Avenir Book" w:hAnsi="Avenir Book"/>
          <w:color w:val="000000"/>
        </w:rPr>
      </w:pPr>
      <w:r w:rsidRPr="00BD5096">
        <w:rPr>
          <w:rFonts w:ascii="Avenir Book" w:hAnsi="Avenir Book"/>
          <w:color w:val="000000"/>
        </w:rPr>
        <w:t xml:space="preserve">While there are a variety of approaches for mitigating political pressures on defenders’ offices, the Pennsylvania Public Defenders Act limits the options available in Pennsylvania. Accordingly, we focus here on what we believe to be the only viable option for </w:t>
      </w:r>
      <w:r w:rsidR="000F6C1C" w:rsidRPr="00BD5096">
        <w:rPr>
          <w:rFonts w:ascii="Avenir Book" w:hAnsi="Avenir Book"/>
          <w:color w:val="000000"/>
        </w:rPr>
        <w:t>mitigat</w:t>
      </w:r>
      <w:r w:rsidRPr="00BD5096">
        <w:rPr>
          <w:rFonts w:ascii="Avenir Book" w:hAnsi="Avenir Book"/>
          <w:color w:val="000000"/>
        </w:rPr>
        <w:t xml:space="preserve">ing the political </w:t>
      </w:r>
      <w:r w:rsidR="000F6C1C" w:rsidRPr="00BD5096">
        <w:rPr>
          <w:rFonts w:ascii="Avenir Book" w:hAnsi="Avenir Book"/>
          <w:color w:val="000000"/>
        </w:rPr>
        <w:t xml:space="preserve">pressures </w:t>
      </w:r>
      <w:r w:rsidR="000A1647" w:rsidRPr="00BD5096">
        <w:rPr>
          <w:rFonts w:ascii="Avenir Book" w:hAnsi="Avenir Book"/>
          <w:color w:val="000000"/>
        </w:rPr>
        <w:t>created by the Pennsylvania statutory structure</w:t>
      </w:r>
      <w:r w:rsidRPr="00BD5096">
        <w:rPr>
          <w:rFonts w:ascii="Avenir Book" w:hAnsi="Avenir Book"/>
          <w:color w:val="000000"/>
        </w:rPr>
        <w:t xml:space="preserve"> in a </w:t>
      </w:r>
      <w:r w:rsidRPr="00BD5096">
        <w:rPr>
          <w:rFonts w:ascii="Avenir Book" w:hAnsi="Avenir Book"/>
          <w:color w:val="000000"/>
        </w:rPr>
        <w:lastRenderedPageBreak/>
        <w:t>way that comports with that structure: the creation of an</w:t>
      </w:r>
      <w:r w:rsidR="000F6C1C" w:rsidRPr="00BD5096">
        <w:rPr>
          <w:rFonts w:ascii="Avenir Book" w:hAnsi="Avenir Book"/>
          <w:color w:val="000000"/>
        </w:rPr>
        <w:t xml:space="preserve"> </w:t>
      </w:r>
      <w:r w:rsidR="00695387" w:rsidRPr="00BD5096">
        <w:rPr>
          <w:rFonts w:ascii="Avenir Book" w:hAnsi="Avenir Book"/>
          <w:color w:val="000000"/>
        </w:rPr>
        <w:t xml:space="preserve">independent </w:t>
      </w:r>
      <w:r w:rsidR="000F6C1C" w:rsidRPr="00BD5096">
        <w:rPr>
          <w:rFonts w:ascii="Avenir Book" w:hAnsi="Avenir Book"/>
          <w:color w:val="000000"/>
        </w:rPr>
        <w:t>oversight board to supervise the provision of indigent defense services.</w:t>
      </w:r>
      <w:r w:rsidR="005833BE" w:rsidRPr="00BD5096">
        <w:rPr>
          <w:rFonts w:ascii="Avenir Book" w:hAnsi="Avenir Book"/>
          <w:color w:val="000000"/>
        </w:rPr>
        <w:t xml:space="preserve"> </w:t>
      </w:r>
    </w:p>
    <w:p w14:paraId="59276A24" w14:textId="6DD31F05" w:rsidR="006F3DDC" w:rsidRPr="00BD5096" w:rsidRDefault="005833BE" w:rsidP="00BD5096">
      <w:pPr>
        <w:spacing w:line="360" w:lineRule="auto"/>
        <w:ind w:firstLine="720"/>
        <w:jc w:val="both"/>
        <w:rPr>
          <w:rFonts w:ascii="Avenir Book" w:hAnsi="Avenir Book"/>
          <w:color w:val="000000"/>
        </w:rPr>
      </w:pPr>
      <w:r w:rsidRPr="00BD5096">
        <w:rPr>
          <w:rFonts w:ascii="Avenir Book" w:hAnsi="Avenir Book"/>
          <w:color w:val="000000"/>
        </w:rPr>
        <w:t xml:space="preserve">In addition, we discuss two internal structures that can mitigate external influence: </w:t>
      </w:r>
      <w:r w:rsidR="00B831FD">
        <w:rPr>
          <w:rFonts w:ascii="Avenir Book" w:hAnsi="Avenir Book"/>
          <w:color w:val="000000"/>
        </w:rPr>
        <w:t xml:space="preserve">the assignment of </w:t>
      </w:r>
      <w:r w:rsidRPr="00BD5096">
        <w:rPr>
          <w:rFonts w:ascii="Avenir Book" w:hAnsi="Avenir Book"/>
          <w:color w:val="000000"/>
        </w:rPr>
        <w:t xml:space="preserve">a dedicated human resources </w:t>
      </w:r>
      <w:r w:rsidR="00B831FD">
        <w:rPr>
          <w:rFonts w:ascii="Avenir Book" w:hAnsi="Avenir Book"/>
          <w:color w:val="000000"/>
        </w:rPr>
        <w:t>professional to the Office,</w:t>
      </w:r>
      <w:r w:rsidRPr="00BD5096">
        <w:rPr>
          <w:rFonts w:ascii="Avenir Book" w:hAnsi="Avenir Book"/>
          <w:color w:val="000000"/>
        </w:rPr>
        <w:t xml:space="preserve"> and a reassessment of the case assignment</w:t>
      </w:r>
      <w:r w:rsidR="00B831FD">
        <w:rPr>
          <w:rFonts w:ascii="Avenir Book" w:hAnsi="Avenir Book"/>
          <w:color w:val="000000"/>
        </w:rPr>
        <w:t xml:space="preserve"> </w:t>
      </w:r>
      <w:r w:rsidRPr="00BD5096">
        <w:rPr>
          <w:rFonts w:ascii="Avenir Book" w:hAnsi="Avenir Book"/>
          <w:color w:val="000000"/>
        </w:rPr>
        <w:t>system.</w:t>
      </w:r>
    </w:p>
    <w:p w14:paraId="3C6B6C94" w14:textId="08550927" w:rsidR="00F01684" w:rsidRPr="00533702" w:rsidRDefault="00F01684" w:rsidP="00533702">
      <w:pPr>
        <w:pStyle w:val="head4"/>
      </w:pPr>
      <w:bookmarkStart w:id="17" w:name="_Toc62730372"/>
      <w:r w:rsidRPr="00533702">
        <w:t>External</w:t>
      </w:r>
      <w:r w:rsidR="00017C35" w:rsidRPr="00533702">
        <w:t xml:space="preserve"> Structures: </w:t>
      </w:r>
      <w:r w:rsidR="006F3DDC" w:rsidRPr="00533702">
        <w:t>Oversight Boards</w:t>
      </w:r>
      <w:bookmarkEnd w:id="17"/>
    </w:p>
    <w:p w14:paraId="30283F51" w14:textId="668861AB" w:rsidR="000724AA" w:rsidRPr="00BD5096" w:rsidRDefault="00695387" w:rsidP="00BD5096">
      <w:pPr>
        <w:spacing w:line="360" w:lineRule="auto"/>
        <w:ind w:firstLine="720"/>
        <w:jc w:val="both"/>
        <w:rPr>
          <w:rFonts w:ascii="Avenir Book" w:hAnsi="Avenir Book"/>
        </w:rPr>
      </w:pPr>
      <w:r w:rsidRPr="00BD5096">
        <w:rPr>
          <w:rFonts w:ascii="Avenir Book" w:hAnsi="Avenir Book"/>
        </w:rPr>
        <w:t>Both the ABA and NAPD recommend the creation of oversight boards in order to provide public defender offices with independence from the political branches of government. The first ABA P</w:t>
      </w:r>
      <w:r w:rsidR="000724AA" w:rsidRPr="00BD5096">
        <w:rPr>
          <w:rFonts w:ascii="Avenir Book" w:hAnsi="Avenir Book"/>
        </w:rPr>
        <w:t>rinciple states that public defender systems must be independent from outside influences in the selection, funding, and payment of defense counsel.</w:t>
      </w:r>
      <w:r w:rsidR="000724AA" w:rsidRPr="00BD5096">
        <w:rPr>
          <w:rFonts w:ascii="Avenir Book" w:hAnsi="Avenir Book"/>
          <w:vertAlign w:val="superscript"/>
        </w:rPr>
        <w:endnoteReference w:id="96"/>
      </w:r>
      <w:r w:rsidR="000724AA" w:rsidRPr="00BD5096">
        <w:rPr>
          <w:rFonts w:ascii="Avenir Book" w:hAnsi="Avenir Book"/>
        </w:rPr>
        <w:t xml:space="preserve"> A public defender system should be independent from political influence,</w:t>
      </w:r>
      <w:r w:rsidR="000724AA" w:rsidRPr="00BD5096">
        <w:rPr>
          <w:rFonts w:ascii="Avenir Book" w:hAnsi="Avenir Book"/>
          <w:vertAlign w:val="superscript"/>
        </w:rPr>
        <w:endnoteReference w:id="97"/>
      </w:r>
      <w:r w:rsidR="000724AA" w:rsidRPr="00BD5096">
        <w:rPr>
          <w:rFonts w:ascii="Avenir Book" w:hAnsi="Avenir Book"/>
        </w:rPr>
        <w:t xml:space="preserve"> and should only be subject to the same level of judicial supervision as retained or private counsel: “the mediator between two adversaries cannot be permitted to make policy for one of the adversaries.”</w:t>
      </w:r>
      <w:r w:rsidR="000724AA" w:rsidRPr="00BD5096">
        <w:rPr>
          <w:rFonts w:ascii="Avenir Book" w:hAnsi="Avenir Book"/>
          <w:vertAlign w:val="superscript"/>
        </w:rPr>
        <w:endnoteReference w:id="98"/>
      </w:r>
      <w:r w:rsidR="000724AA" w:rsidRPr="00BD5096">
        <w:rPr>
          <w:rFonts w:ascii="Avenir Book" w:hAnsi="Avenir Book"/>
        </w:rPr>
        <w:t xml:space="preserve"> Independence of public defense systems is crucial for public defenders to be able to make decisions based only on loyalty to their clients, which is required by Rule 1.7 of the MRPC.</w:t>
      </w:r>
      <w:r w:rsidR="000724AA" w:rsidRPr="00BD5096">
        <w:rPr>
          <w:rFonts w:ascii="Avenir Book" w:hAnsi="Avenir Book"/>
          <w:vertAlign w:val="superscript"/>
        </w:rPr>
        <w:endnoteReference w:id="99"/>
      </w:r>
      <w:r w:rsidR="00B9384A" w:rsidRPr="00BD5096">
        <w:rPr>
          <w:rFonts w:ascii="Avenir Book" w:hAnsi="Avenir Book"/>
        </w:rPr>
        <w:t xml:space="preserve"> </w:t>
      </w:r>
      <w:r w:rsidR="000724AA" w:rsidRPr="00BD5096">
        <w:rPr>
          <w:rFonts w:ascii="Avenir Book" w:hAnsi="Avenir Book"/>
        </w:rPr>
        <w:t>In order to conform with the principle of independence, the ABA recommends that a non-partisan board should be appointed to oversee public defense systems.</w:t>
      </w:r>
      <w:r w:rsidR="000724AA" w:rsidRPr="00BD5096">
        <w:rPr>
          <w:rFonts w:ascii="Avenir Book" w:hAnsi="Avenir Book"/>
          <w:vertAlign w:val="superscript"/>
        </w:rPr>
        <w:endnoteReference w:id="100"/>
      </w:r>
      <w:r w:rsidR="000724AA" w:rsidRPr="00BD5096">
        <w:rPr>
          <w:rFonts w:ascii="Avenir Book" w:hAnsi="Avenir Book"/>
        </w:rPr>
        <w:t xml:space="preserve">  </w:t>
      </w:r>
    </w:p>
    <w:p w14:paraId="23552B29" w14:textId="309AE3A2" w:rsidR="005833BE" w:rsidRPr="00BD5096" w:rsidRDefault="0020391D" w:rsidP="00BD5096">
      <w:pPr>
        <w:spacing w:line="360" w:lineRule="auto"/>
        <w:ind w:firstLine="720"/>
        <w:jc w:val="both"/>
        <w:rPr>
          <w:rFonts w:ascii="Avenir Book" w:hAnsi="Avenir Book"/>
        </w:rPr>
      </w:pPr>
      <w:r w:rsidRPr="00BD5096">
        <w:rPr>
          <w:rFonts w:ascii="Avenir Book" w:hAnsi="Avenir Book"/>
        </w:rPr>
        <w:t>The NAPD also recommends that the policy-making function, choice of Chief Defender, and oversight of public defense systems should be vested in an independent Oversight Board or board of trustees selected.</w:t>
      </w:r>
      <w:r w:rsidRPr="00BD5096">
        <w:rPr>
          <w:rFonts w:ascii="Avenir Book" w:hAnsi="Avenir Book"/>
          <w:vertAlign w:val="superscript"/>
        </w:rPr>
        <w:endnoteReference w:id="101"/>
      </w:r>
      <w:r w:rsidRPr="00BD5096">
        <w:rPr>
          <w:rFonts w:ascii="Avenir Book" w:hAnsi="Avenir Book"/>
        </w:rPr>
        <w:t xml:space="preserve"> This recommendation derives from </w:t>
      </w:r>
      <w:r w:rsidR="000724AA" w:rsidRPr="00BD5096">
        <w:rPr>
          <w:rFonts w:ascii="Avenir Book" w:hAnsi="Avenir Book"/>
        </w:rPr>
        <w:t>NAPD’s Second Principle</w:t>
      </w:r>
      <w:r w:rsidRPr="00BD5096">
        <w:rPr>
          <w:rFonts w:ascii="Avenir Book" w:hAnsi="Avenir Book"/>
        </w:rPr>
        <w:t>, which</w:t>
      </w:r>
      <w:r w:rsidR="000724AA" w:rsidRPr="00BD5096">
        <w:rPr>
          <w:rFonts w:ascii="Avenir Book" w:hAnsi="Avenir Book"/>
        </w:rPr>
        <w:t xml:space="preserve"> requires that public defense systems remain independent of political control and influence</w:t>
      </w:r>
      <w:r w:rsidRPr="00BD5096">
        <w:rPr>
          <w:rFonts w:ascii="Avenir Book" w:hAnsi="Avenir Book"/>
        </w:rPr>
        <w:t>,</w:t>
      </w:r>
      <w:r w:rsidR="00B831FD" w:rsidRPr="00B831FD">
        <w:rPr>
          <w:rFonts w:ascii="Avenir Book" w:hAnsi="Avenir Book"/>
          <w:vertAlign w:val="superscript"/>
        </w:rPr>
        <w:t xml:space="preserve"> </w:t>
      </w:r>
      <w:r w:rsidR="00B831FD" w:rsidRPr="00BD5096">
        <w:rPr>
          <w:rFonts w:ascii="Avenir Book" w:hAnsi="Avenir Book"/>
          <w:vertAlign w:val="superscript"/>
        </w:rPr>
        <w:endnoteReference w:id="102"/>
      </w:r>
      <w:r w:rsidR="00B831FD" w:rsidRPr="00BD5096">
        <w:rPr>
          <w:rFonts w:ascii="Avenir Book" w:hAnsi="Avenir Book"/>
        </w:rPr>
        <w:t xml:space="preserve"> </w:t>
      </w:r>
      <w:r w:rsidR="000724AA" w:rsidRPr="00BD5096">
        <w:rPr>
          <w:rFonts w:ascii="Avenir Book" w:hAnsi="Avenir Book"/>
        </w:rPr>
        <w:t xml:space="preserve"> </w:t>
      </w:r>
      <w:r w:rsidRPr="00BD5096">
        <w:rPr>
          <w:rFonts w:ascii="Avenir Book" w:hAnsi="Avenir Book"/>
        </w:rPr>
        <w:t xml:space="preserve">as well as its </w:t>
      </w:r>
      <w:r w:rsidR="003F0B70" w:rsidRPr="00BD5096">
        <w:rPr>
          <w:rFonts w:ascii="Avenir Book" w:hAnsi="Avenir Book"/>
        </w:rPr>
        <w:t>14</w:t>
      </w:r>
      <w:r w:rsidR="003F0B70" w:rsidRPr="00BD5096">
        <w:rPr>
          <w:rFonts w:ascii="Avenir Book" w:hAnsi="Avenir Book"/>
          <w:vertAlign w:val="superscript"/>
        </w:rPr>
        <w:t>th</w:t>
      </w:r>
      <w:r w:rsidR="003F0B70" w:rsidRPr="00BD5096">
        <w:rPr>
          <w:rFonts w:ascii="Avenir Book" w:hAnsi="Avenir Book"/>
        </w:rPr>
        <w:t xml:space="preserve"> Principle</w:t>
      </w:r>
      <w:r w:rsidRPr="00BD5096">
        <w:rPr>
          <w:rFonts w:ascii="Avenir Book" w:hAnsi="Avenir Book"/>
        </w:rPr>
        <w:t>, which</w:t>
      </w:r>
      <w:r w:rsidR="00B9384A" w:rsidRPr="00BD5096">
        <w:rPr>
          <w:rFonts w:ascii="Avenir Book" w:hAnsi="Avenir Book"/>
        </w:rPr>
        <w:t xml:space="preserve"> </w:t>
      </w:r>
      <w:r w:rsidR="003F0B70" w:rsidRPr="00BD5096">
        <w:rPr>
          <w:rFonts w:ascii="Avenir Book" w:hAnsi="Avenir Book"/>
        </w:rPr>
        <w:t>states that the expertise and experience of public defenders makes their voices indispensable in</w:t>
      </w:r>
      <w:r w:rsidR="00B9384A" w:rsidRPr="00BD5096">
        <w:rPr>
          <w:rFonts w:ascii="Avenir Book" w:hAnsi="Avenir Book"/>
        </w:rPr>
        <w:t xml:space="preserve"> </w:t>
      </w:r>
      <w:r w:rsidR="003F0B70" w:rsidRPr="00BD5096">
        <w:rPr>
          <w:rFonts w:ascii="Avenir Book" w:hAnsi="Avenir Book"/>
        </w:rPr>
        <w:t>the formulation of criminal legal policies and reforms.</w:t>
      </w:r>
      <w:r w:rsidR="00B831FD">
        <w:rPr>
          <w:rStyle w:val="EndnoteReference"/>
          <w:rFonts w:ascii="Avenir Book" w:hAnsi="Avenir Book"/>
        </w:rPr>
        <w:endnoteReference w:id="103"/>
      </w:r>
      <w:r w:rsidR="00B831FD" w:rsidRPr="00B831FD">
        <w:rPr>
          <w:rFonts w:ascii="Avenir Book" w:hAnsi="Avenir Book"/>
          <w:vertAlign w:val="superscript"/>
        </w:rPr>
        <w:t xml:space="preserve"> </w:t>
      </w:r>
      <w:r w:rsidR="003F0B70" w:rsidRPr="00BD5096">
        <w:rPr>
          <w:rFonts w:ascii="Avenir Book" w:hAnsi="Avenir Book"/>
        </w:rPr>
        <w:t xml:space="preserve">To lend their voices, public defenders must be assured they can speak freely. </w:t>
      </w:r>
    </w:p>
    <w:p w14:paraId="1311C55E" w14:textId="1F2A0934" w:rsidR="00B9384A" w:rsidRPr="00BD5096" w:rsidRDefault="005833BE" w:rsidP="00BD5096">
      <w:pPr>
        <w:spacing w:line="360" w:lineRule="auto"/>
        <w:ind w:firstLine="720"/>
        <w:jc w:val="both"/>
        <w:rPr>
          <w:rFonts w:ascii="Avenir Book" w:hAnsi="Avenir Book"/>
          <w:color w:val="000000"/>
        </w:rPr>
      </w:pPr>
      <w:r w:rsidRPr="00BD5096">
        <w:rPr>
          <w:rFonts w:ascii="Avenir Book" w:hAnsi="Avenir Book"/>
          <w:color w:val="000000"/>
        </w:rPr>
        <w:lastRenderedPageBreak/>
        <w:t>New Mexico’s approach is a model here. In 2011, the Governor of New Mexico terminated the State’s Chief Defender after the Defender during a legislation session accused the government of underfunding. The following year, the Citizens of New Mexico voted in a referendum to move oversight of the Public Defender’s Office to a newly created Public Defender Commission.</w:t>
      </w:r>
      <w:r w:rsidRPr="00BD5096">
        <w:rPr>
          <w:rFonts w:ascii="Avenir Book" w:hAnsi="Avenir Book"/>
          <w:color w:val="000000"/>
          <w:vertAlign w:val="superscript"/>
        </w:rPr>
        <w:endnoteReference w:id="104"/>
      </w:r>
      <w:r w:rsidRPr="00BD5096">
        <w:rPr>
          <w:rFonts w:ascii="Avenir Book" w:hAnsi="Avenir Book"/>
          <w:color w:val="000000"/>
        </w:rPr>
        <w:t xml:space="preserve"> The next year, the “Public Defender Commission formed and appointed the first Chief Public Defender under a new independent format.”</w:t>
      </w:r>
      <w:r w:rsidRPr="00BD5096">
        <w:rPr>
          <w:rFonts w:ascii="Avenir Book" w:hAnsi="Avenir Book"/>
          <w:color w:val="000000"/>
          <w:vertAlign w:val="superscript"/>
        </w:rPr>
        <w:endnoteReference w:id="105"/>
      </w:r>
      <w:r w:rsidRPr="00BD5096">
        <w:rPr>
          <w:rFonts w:ascii="Avenir Book" w:hAnsi="Avenir Book"/>
          <w:color w:val="000000"/>
        </w:rPr>
        <w:t xml:space="preserve"> </w:t>
      </w:r>
    </w:p>
    <w:p w14:paraId="506AB08B" w14:textId="5F4F83D6" w:rsidR="000F6C1C" w:rsidRPr="00533702" w:rsidRDefault="003F0B70" w:rsidP="00533702">
      <w:pPr>
        <w:pStyle w:val="head4"/>
        <w:rPr>
          <w:rFonts w:ascii="Avenir Black" w:hAnsi="Avenir Black"/>
          <w:i w:val="0"/>
          <w:iCs w:val="0"/>
          <w:sz w:val="29"/>
          <w:szCs w:val="29"/>
        </w:rPr>
      </w:pPr>
      <w:bookmarkStart w:id="18" w:name="_Toc62730373"/>
      <w:r w:rsidRPr="00533702">
        <w:rPr>
          <w:rFonts w:ascii="Avenir Black" w:hAnsi="Avenir Black"/>
          <w:i w:val="0"/>
          <w:iCs w:val="0"/>
          <w:sz w:val="29"/>
          <w:szCs w:val="29"/>
        </w:rPr>
        <w:t xml:space="preserve">Types of </w:t>
      </w:r>
      <w:r w:rsidR="00516F27" w:rsidRPr="00533702">
        <w:rPr>
          <w:rFonts w:ascii="Avenir Black" w:hAnsi="Avenir Black"/>
          <w:i w:val="0"/>
          <w:iCs w:val="0"/>
          <w:sz w:val="29"/>
          <w:szCs w:val="29"/>
        </w:rPr>
        <w:t xml:space="preserve">Public Defense </w:t>
      </w:r>
      <w:r w:rsidR="00567695" w:rsidRPr="00533702">
        <w:rPr>
          <w:rFonts w:ascii="Avenir Black" w:hAnsi="Avenir Black"/>
          <w:i w:val="0"/>
          <w:iCs w:val="0"/>
          <w:sz w:val="29"/>
          <w:szCs w:val="29"/>
        </w:rPr>
        <w:t>Oversight Board</w:t>
      </w:r>
      <w:r w:rsidR="000F6C1C" w:rsidRPr="00533702">
        <w:rPr>
          <w:rFonts w:ascii="Avenir Black" w:hAnsi="Avenir Black"/>
          <w:i w:val="0"/>
          <w:iCs w:val="0"/>
          <w:sz w:val="29"/>
          <w:szCs w:val="29"/>
        </w:rPr>
        <w:t>s</w:t>
      </w:r>
      <w:bookmarkEnd w:id="18"/>
    </w:p>
    <w:p w14:paraId="31A10F97" w14:textId="2AAFD7AC" w:rsidR="00FB7A1E" w:rsidRPr="00BD5096" w:rsidRDefault="00FB7A1E" w:rsidP="00533702">
      <w:pPr>
        <w:tabs>
          <w:tab w:val="left" w:pos="4500"/>
        </w:tabs>
        <w:spacing w:line="360" w:lineRule="auto"/>
        <w:ind w:firstLine="720"/>
        <w:jc w:val="both"/>
        <w:rPr>
          <w:rFonts w:ascii="Avenir Book" w:hAnsi="Avenir Book"/>
          <w:color w:val="000000"/>
        </w:rPr>
      </w:pPr>
      <w:r w:rsidRPr="00BD5096">
        <w:rPr>
          <w:rFonts w:ascii="Avenir Book" w:hAnsi="Avenir Book"/>
        </w:rPr>
        <w:t>Oversight Boards may take several forms</w:t>
      </w:r>
      <w:r w:rsidR="00A1454A" w:rsidRPr="00BD5096">
        <w:rPr>
          <w:rFonts w:ascii="Avenir Book" w:hAnsi="Avenir Book"/>
        </w:rPr>
        <w:t>.</w:t>
      </w:r>
      <w:r w:rsidRPr="00BD5096">
        <w:rPr>
          <w:rFonts w:ascii="Avenir Book" w:hAnsi="Avenir Book"/>
        </w:rPr>
        <w:t xml:space="preserve"> </w:t>
      </w:r>
      <w:r w:rsidR="003F0B70" w:rsidRPr="00BD5096">
        <w:rPr>
          <w:rFonts w:ascii="Avenir Book" w:hAnsi="Avenir Book"/>
        </w:rPr>
        <w:t>Some states have centralized, statewide oversight mechanisms; other have limited, hybrid, or local oversight; and still other</w:t>
      </w:r>
      <w:r w:rsidR="00C647ED">
        <w:rPr>
          <w:rFonts w:ascii="Avenir Book" w:hAnsi="Avenir Book"/>
        </w:rPr>
        <w:t>s</w:t>
      </w:r>
      <w:r w:rsidR="003F0B70" w:rsidRPr="00BD5096">
        <w:rPr>
          <w:rFonts w:ascii="Avenir Book" w:hAnsi="Avenir Book"/>
        </w:rPr>
        <w:t xml:space="preserve"> (like Pennsylvania) have no consistent oversight mechanisms at all. </w:t>
      </w:r>
      <w:r w:rsidR="0070315C" w:rsidRPr="00BD5096">
        <w:rPr>
          <w:rFonts w:ascii="Avenir Book" w:hAnsi="Avenir Book"/>
        </w:rPr>
        <w:t>Regardless of the form,</w:t>
      </w:r>
      <w:r w:rsidRPr="00BD5096">
        <w:rPr>
          <w:rFonts w:ascii="Avenir Book" w:hAnsi="Avenir Book"/>
        </w:rPr>
        <w:t xml:space="preserve"> </w:t>
      </w:r>
      <w:r w:rsidRPr="00BD5096">
        <w:rPr>
          <w:rFonts w:ascii="Avenir Book" w:hAnsi="Avenir Book"/>
          <w:color w:val="000000"/>
        </w:rPr>
        <w:t xml:space="preserve">the most important </w:t>
      </w:r>
      <w:r w:rsidR="0070315C" w:rsidRPr="00BD5096">
        <w:rPr>
          <w:rFonts w:ascii="Avenir Book" w:hAnsi="Avenir Book"/>
          <w:color w:val="000000"/>
        </w:rPr>
        <w:t>function</w:t>
      </w:r>
      <w:r w:rsidRPr="00BD5096">
        <w:rPr>
          <w:rFonts w:ascii="Avenir Book" w:hAnsi="Avenir Book"/>
          <w:color w:val="000000"/>
        </w:rPr>
        <w:t xml:space="preserve"> </w:t>
      </w:r>
      <w:r w:rsidR="003F0B70" w:rsidRPr="00BD5096">
        <w:rPr>
          <w:rFonts w:ascii="Avenir Book" w:hAnsi="Avenir Book"/>
          <w:color w:val="000000"/>
        </w:rPr>
        <w:t xml:space="preserve">of </w:t>
      </w:r>
      <w:r w:rsidRPr="00BD5096">
        <w:rPr>
          <w:rFonts w:ascii="Avenir Book" w:hAnsi="Avenir Book"/>
          <w:color w:val="000000"/>
        </w:rPr>
        <w:t xml:space="preserve">an Oversight Board is authority </w:t>
      </w:r>
      <w:r w:rsidR="003F0B70" w:rsidRPr="00BD5096">
        <w:rPr>
          <w:rFonts w:ascii="Avenir Book" w:hAnsi="Avenir Book"/>
          <w:color w:val="000000"/>
        </w:rPr>
        <w:t xml:space="preserve">with respect to the </w:t>
      </w:r>
      <w:r w:rsidRPr="00BD5096">
        <w:rPr>
          <w:rFonts w:ascii="Avenir Book" w:hAnsi="Avenir Book"/>
          <w:color w:val="000000"/>
        </w:rPr>
        <w:t>appoint</w:t>
      </w:r>
      <w:r w:rsidR="003F0B70" w:rsidRPr="00BD5096">
        <w:rPr>
          <w:rFonts w:ascii="Avenir Book" w:hAnsi="Avenir Book"/>
          <w:color w:val="000000"/>
        </w:rPr>
        <w:t>ment</w:t>
      </w:r>
      <w:r w:rsidRPr="00BD5096">
        <w:rPr>
          <w:rFonts w:ascii="Avenir Book" w:hAnsi="Avenir Book"/>
          <w:color w:val="000000"/>
        </w:rPr>
        <w:t xml:space="preserve"> and remov</w:t>
      </w:r>
      <w:r w:rsidR="003F0B70" w:rsidRPr="00BD5096">
        <w:rPr>
          <w:rFonts w:ascii="Avenir Book" w:hAnsi="Avenir Book"/>
          <w:color w:val="000000"/>
        </w:rPr>
        <w:t>al of</w:t>
      </w:r>
      <w:r w:rsidRPr="00BD5096">
        <w:rPr>
          <w:rFonts w:ascii="Avenir Book" w:hAnsi="Avenir Book"/>
          <w:color w:val="000000"/>
        </w:rPr>
        <w:t xml:space="preserve"> the Chief Public Defender of their jurisdiction.</w:t>
      </w:r>
      <w:r w:rsidRPr="00BD5096">
        <w:rPr>
          <w:rFonts w:ascii="Avenir Book" w:hAnsi="Avenir Book"/>
          <w:color w:val="000000"/>
          <w:vertAlign w:val="superscript"/>
        </w:rPr>
        <w:endnoteReference w:id="106"/>
      </w:r>
      <w:r w:rsidRPr="00BD5096">
        <w:rPr>
          <w:rFonts w:ascii="Avenir Book" w:hAnsi="Avenir Book"/>
          <w:color w:val="000000"/>
        </w:rPr>
        <w:t xml:space="preserve"> </w:t>
      </w:r>
    </w:p>
    <w:p w14:paraId="5FA8D276" w14:textId="68168FB5" w:rsidR="00C22009" w:rsidRPr="00533702" w:rsidRDefault="00C22009" w:rsidP="00533702">
      <w:pPr>
        <w:pStyle w:val="head6"/>
      </w:pPr>
      <w:bookmarkStart w:id="19" w:name="_Toc62730374"/>
      <w:r w:rsidRPr="00533702">
        <w:t>Statewide Oversight</w:t>
      </w:r>
      <w:bookmarkEnd w:id="19"/>
      <w:r w:rsidRPr="00533702">
        <w:t xml:space="preserve"> </w:t>
      </w:r>
    </w:p>
    <w:p w14:paraId="6A9EDD92" w14:textId="77777777" w:rsidR="00C22009" w:rsidRPr="00BD5096" w:rsidRDefault="00C22009" w:rsidP="00BD5096">
      <w:pPr>
        <w:spacing w:line="360" w:lineRule="auto"/>
        <w:ind w:firstLine="720"/>
        <w:jc w:val="both"/>
        <w:rPr>
          <w:rFonts w:ascii="Avenir Book" w:hAnsi="Avenir Book"/>
          <w:color w:val="000000"/>
        </w:rPr>
      </w:pPr>
      <w:r w:rsidRPr="00BD5096">
        <w:rPr>
          <w:rFonts w:ascii="Avenir Book" w:hAnsi="Avenir Book"/>
          <w:color w:val="000000"/>
        </w:rPr>
        <w:t xml:space="preserve">Statewide oversight refers to a form of oversight in which states maintain one or more Oversight Boards to </w:t>
      </w:r>
      <w:r w:rsidRPr="00BD5096">
        <w:rPr>
          <w:rFonts w:ascii="Avenir Book" w:hAnsi="Avenir Book"/>
        </w:rPr>
        <w:t>“</w:t>
      </w:r>
      <w:r w:rsidRPr="00BD5096">
        <w:rPr>
          <w:rFonts w:ascii="Avenir Book" w:hAnsi="Avenir Book"/>
          <w:color w:val="000000"/>
        </w:rPr>
        <w:t>oversee indigent defense services for all case-types</w:t>
      </w:r>
      <w:r w:rsidRPr="00BD5096">
        <w:rPr>
          <w:rFonts w:ascii="Avenir Book" w:hAnsi="Avenir Book"/>
        </w:rPr>
        <w:t>”</w:t>
      </w:r>
      <w:r w:rsidRPr="00BD5096">
        <w:rPr>
          <w:rFonts w:ascii="Avenir Book" w:hAnsi="Avenir Book"/>
          <w:color w:val="000000"/>
        </w:rPr>
        <w:t xml:space="preserve"> throughout the state.</w:t>
      </w:r>
      <w:r w:rsidRPr="00BD5096">
        <w:rPr>
          <w:rFonts w:ascii="Avenir Book" w:hAnsi="Avenir Book"/>
          <w:color w:val="000000"/>
          <w:vertAlign w:val="superscript"/>
        </w:rPr>
        <w:endnoteReference w:id="107"/>
      </w:r>
      <w:r w:rsidRPr="00BD5096">
        <w:rPr>
          <w:rFonts w:ascii="Avenir Book" w:hAnsi="Avenir Book"/>
          <w:color w:val="000000"/>
        </w:rPr>
        <w:t xml:space="preserve"> Having oversight at the state level can ensure that indigent defense services throughout the entire state are consistent in quality, efficiency, effectiveness, and held to the same standards.</w:t>
      </w:r>
      <w:r w:rsidRPr="00BD5096">
        <w:rPr>
          <w:rFonts w:ascii="Avenir Book" w:hAnsi="Avenir Book"/>
          <w:color w:val="000000"/>
          <w:vertAlign w:val="superscript"/>
        </w:rPr>
        <w:endnoteReference w:id="108"/>
      </w:r>
      <w:r w:rsidRPr="00BD5096">
        <w:rPr>
          <w:rFonts w:ascii="Avenir Book" w:hAnsi="Avenir Book"/>
          <w:color w:val="000000"/>
        </w:rPr>
        <w:t xml:space="preserve"> </w:t>
      </w:r>
    </w:p>
    <w:p w14:paraId="6BA708AC" w14:textId="77777777" w:rsidR="00C22009" w:rsidRPr="00BD5096" w:rsidRDefault="00C22009" w:rsidP="00BD5096">
      <w:pPr>
        <w:spacing w:line="360" w:lineRule="auto"/>
        <w:ind w:firstLine="720"/>
        <w:jc w:val="both"/>
        <w:rPr>
          <w:rFonts w:ascii="Avenir Book" w:hAnsi="Avenir Book"/>
        </w:rPr>
      </w:pPr>
      <w:r w:rsidRPr="00BD5096">
        <w:rPr>
          <w:rFonts w:ascii="Avenir Book" w:hAnsi="Avenir Book"/>
          <w:color w:val="000000"/>
        </w:rPr>
        <w:t>Although it is structured to operate independently, a state Oversight Board must still be technically housed under a particular branch of the state government.</w:t>
      </w:r>
      <w:r w:rsidRPr="00BD5096">
        <w:rPr>
          <w:rFonts w:ascii="Avenir Book" w:hAnsi="Avenir Book"/>
          <w:color w:val="000000"/>
          <w:vertAlign w:val="superscript"/>
        </w:rPr>
        <w:endnoteReference w:id="109"/>
      </w:r>
      <w:r w:rsidRPr="00BD5096">
        <w:rPr>
          <w:rFonts w:ascii="Avenir Book" w:hAnsi="Avenir Book"/>
          <w:color w:val="000000"/>
        </w:rPr>
        <w:t xml:space="preserve"> For example, the Massachusetts Committee for Public Counsel Services, utilizing a statewide funding and oversight model, is housed in the state’s judicial branch.</w:t>
      </w:r>
      <w:r w:rsidRPr="00BD5096">
        <w:rPr>
          <w:rFonts w:ascii="Avenir Book" w:hAnsi="Avenir Book"/>
          <w:color w:val="000000"/>
          <w:vertAlign w:val="superscript"/>
        </w:rPr>
        <w:endnoteReference w:id="110"/>
      </w:r>
      <w:r w:rsidRPr="00BD5096">
        <w:rPr>
          <w:rFonts w:ascii="Avenir Book" w:hAnsi="Avenir Book"/>
          <w:color w:val="000000"/>
        </w:rPr>
        <w:t xml:space="preserve"> Other states using a statewide approach opt to house the statewide Oversight Board in the executive rather than the judicial branch. For example, Alaska’s Public Defender Agency oversees </w:t>
      </w:r>
      <w:r w:rsidRPr="00BD5096">
        <w:rPr>
          <w:rFonts w:ascii="Avenir Book" w:hAnsi="Avenir Book"/>
          <w:color w:val="000000"/>
        </w:rPr>
        <w:lastRenderedPageBreak/>
        <w:t>all public defense operations throughout the state and sits within the executive branch.</w:t>
      </w:r>
      <w:r w:rsidRPr="00BD5096">
        <w:rPr>
          <w:rFonts w:ascii="Avenir Book" w:hAnsi="Avenir Book"/>
          <w:color w:val="000000"/>
          <w:vertAlign w:val="superscript"/>
        </w:rPr>
        <w:endnoteReference w:id="111"/>
      </w:r>
      <w:r w:rsidRPr="00BD5096">
        <w:rPr>
          <w:rFonts w:ascii="Avenir Book" w:hAnsi="Avenir Book"/>
          <w:vertAlign w:val="superscript"/>
        </w:rPr>
        <w:t xml:space="preserve"> </w:t>
      </w:r>
      <w:r w:rsidRPr="00BD5096">
        <w:rPr>
          <w:rFonts w:ascii="Avenir Book" w:hAnsi="Avenir Book"/>
        </w:rPr>
        <w:t>Housing the Oversight Board within the executive branch helps alleviate the concern of judicial influence, while housing the Oversight Board within the judicial branch is thought to keep the defense function separate from the control of its adversary.</w:t>
      </w:r>
      <w:r w:rsidRPr="00BD5096">
        <w:rPr>
          <w:rFonts w:ascii="Avenir Book" w:hAnsi="Avenir Book"/>
          <w:vertAlign w:val="superscript"/>
        </w:rPr>
        <w:endnoteReference w:id="112"/>
      </w:r>
    </w:p>
    <w:p w14:paraId="7D04E3B6" w14:textId="6ACAF0A8" w:rsidR="00C22009" w:rsidRDefault="00C22009" w:rsidP="00533702">
      <w:pPr>
        <w:pStyle w:val="head6"/>
      </w:pPr>
      <w:bookmarkStart w:id="20" w:name="_Toc62730375"/>
      <w:r>
        <w:t xml:space="preserve">Limited </w:t>
      </w:r>
      <w:r w:rsidR="00673057">
        <w:t xml:space="preserve">or Local </w:t>
      </w:r>
      <w:r>
        <w:t>Oversight</w:t>
      </w:r>
      <w:bookmarkEnd w:id="20"/>
      <w:r>
        <w:t xml:space="preserve"> </w:t>
      </w:r>
    </w:p>
    <w:p w14:paraId="3FA0C2C8" w14:textId="694A5C3A" w:rsidR="00C22009" w:rsidRPr="00F85AC7" w:rsidRDefault="00C22009" w:rsidP="00F85AC7">
      <w:pPr>
        <w:spacing w:line="360" w:lineRule="auto"/>
        <w:ind w:firstLine="720"/>
        <w:jc w:val="both"/>
        <w:rPr>
          <w:rFonts w:ascii="Avenir Book" w:hAnsi="Avenir Book"/>
          <w:color w:val="000000"/>
        </w:rPr>
      </w:pPr>
      <w:r w:rsidRPr="00F85AC7">
        <w:rPr>
          <w:rFonts w:ascii="Avenir Book" w:hAnsi="Avenir Book"/>
          <w:color w:val="000000"/>
        </w:rPr>
        <w:t>“Limited oversight” refers to a form of oversight in which state or local governments maintain an Oversight Board which only has control over either particular types of cases or a particular region of the state.</w:t>
      </w:r>
      <w:r w:rsidRPr="00F85AC7">
        <w:rPr>
          <w:rFonts w:ascii="Avenir Book" w:hAnsi="Avenir Book"/>
          <w:color w:val="000000"/>
          <w:vertAlign w:val="superscript"/>
        </w:rPr>
        <w:endnoteReference w:id="113"/>
      </w:r>
      <w:r w:rsidRPr="00F85AC7">
        <w:rPr>
          <w:rFonts w:ascii="Avenir Book" w:hAnsi="Avenir Book"/>
          <w:color w:val="000000"/>
        </w:rPr>
        <w:t xml:space="preserve"> In other words, these are Oversight Boards that “oversee some, but not all, case-types; or oversee some, but not all, regions of the state.”</w:t>
      </w:r>
      <w:r w:rsidRPr="00F85AC7">
        <w:rPr>
          <w:rFonts w:ascii="Avenir Book" w:hAnsi="Avenir Book"/>
          <w:color w:val="000000"/>
          <w:vertAlign w:val="superscript"/>
        </w:rPr>
        <w:endnoteReference w:id="114"/>
      </w:r>
      <w:r w:rsidRPr="00F85AC7">
        <w:rPr>
          <w:rFonts w:ascii="Avenir Book" w:hAnsi="Avenir Book"/>
          <w:color w:val="000000"/>
        </w:rPr>
        <w:t xml:space="preserve"> The theory behind this form of oversight is that this hybrid approach can encourage best practices for indigent defense services while still allowing for local autonomy.</w:t>
      </w:r>
      <w:r w:rsidRPr="00F85AC7">
        <w:rPr>
          <w:rFonts w:ascii="Avenir Book" w:hAnsi="Avenir Book"/>
          <w:color w:val="000000"/>
          <w:vertAlign w:val="superscript"/>
        </w:rPr>
        <w:endnoteReference w:id="115"/>
      </w:r>
      <w:r w:rsidRPr="00F85AC7">
        <w:rPr>
          <w:rFonts w:ascii="Avenir Book" w:hAnsi="Avenir Book"/>
          <w:color w:val="000000"/>
        </w:rPr>
        <w:t xml:space="preserve"> </w:t>
      </w:r>
    </w:p>
    <w:p w14:paraId="155D3F29" w14:textId="74E38D29" w:rsidR="00C22009" w:rsidRPr="00F85AC7" w:rsidRDefault="00C22009" w:rsidP="00F85AC7">
      <w:pPr>
        <w:spacing w:line="360" w:lineRule="auto"/>
        <w:ind w:firstLine="720"/>
        <w:jc w:val="both"/>
        <w:rPr>
          <w:rFonts w:ascii="Avenir Book" w:hAnsi="Avenir Book"/>
          <w:color w:val="000000"/>
        </w:rPr>
      </w:pPr>
      <w:r w:rsidRPr="00F85AC7">
        <w:rPr>
          <w:rFonts w:ascii="Avenir Book" w:hAnsi="Avenir Book"/>
          <w:color w:val="000000"/>
        </w:rPr>
        <w:t>An example of limited oversight can be seen in Texas</w:t>
      </w:r>
      <w:r w:rsidR="003F0B70" w:rsidRPr="00F85AC7">
        <w:rPr>
          <w:rFonts w:ascii="Avenir Book" w:hAnsi="Avenir Book"/>
          <w:color w:val="000000"/>
        </w:rPr>
        <w:t>,</w:t>
      </w:r>
      <w:r w:rsidRPr="00F85AC7">
        <w:rPr>
          <w:rFonts w:ascii="Avenir Book" w:hAnsi="Avenir Book"/>
          <w:color w:val="000000"/>
        </w:rPr>
        <w:t xml:space="preserve"> where the state’s public defenders are overseen by the Texas Indigent Defense Commission (TIDC).</w:t>
      </w:r>
      <w:r w:rsidRPr="00F85AC7">
        <w:rPr>
          <w:rFonts w:ascii="Avenir Book" w:hAnsi="Avenir Book"/>
          <w:color w:val="000000"/>
          <w:vertAlign w:val="superscript"/>
        </w:rPr>
        <w:endnoteReference w:id="116"/>
      </w:r>
      <w:r w:rsidRPr="00F85AC7">
        <w:rPr>
          <w:rFonts w:ascii="Avenir Book" w:hAnsi="Avenir Book"/>
        </w:rPr>
        <w:t xml:space="preserve"> </w:t>
      </w:r>
      <w:r w:rsidRPr="00F85AC7">
        <w:rPr>
          <w:rFonts w:ascii="Avenir Book" w:hAnsi="Avenir Book"/>
          <w:color w:val="000000"/>
        </w:rPr>
        <w:t>“Texas’ 254 counties are responsible for providing the right to counsel, with limited support from the state. In short, the trial level judges in each county who preside over criminal cases have almost complete authority over the systems of providing the right to counsel to indigent adult defendants.”</w:t>
      </w:r>
      <w:r w:rsidRPr="00F85AC7">
        <w:rPr>
          <w:rFonts w:ascii="Avenir Book" w:hAnsi="Avenir Book"/>
          <w:color w:val="000000"/>
          <w:vertAlign w:val="superscript"/>
        </w:rPr>
        <w:endnoteReference w:id="117"/>
      </w:r>
      <w:r w:rsidRPr="00F85AC7">
        <w:rPr>
          <w:rFonts w:ascii="Avenir Book" w:hAnsi="Avenir Book"/>
        </w:rPr>
        <w:t xml:space="preserve"> </w:t>
      </w:r>
      <w:r w:rsidRPr="00F85AC7">
        <w:rPr>
          <w:rFonts w:ascii="Avenir Book" w:hAnsi="Avenir Book"/>
          <w:color w:val="000000"/>
        </w:rPr>
        <w:t>“The TIDC does not provide direct representation of indigent defendants. [They] also [do] not have the power to force counties or judges to comply with any law, rule, standard, or policy relating to the provision of indigent defense services; all it can do is withhold state grant funds.”</w:t>
      </w:r>
      <w:r w:rsidRPr="00F85AC7">
        <w:rPr>
          <w:rFonts w:ascii="Avenir Book" w:hAnsi="Avenir Book"/>
          <w:color w:val="000000"/>
          <w:vertAlign w:val="superscript"/>
        </w:rPr>
        <w:endnoteReference w:id="118"/>
      </w:r>
    </w:p>
    <w:p w14:paraId="354CCCD4" w14:textId="19C4AEA1" w:rsidR="00C22009" w:rsidRPr="00F85AC7" w:rsidRDefault="00C22009" w:rsidP="00F85AC7">
      <w:pPr>
        <w:spacing w:line="360" w:lineRule="auto"/>
        <w:ind w:firstLine="720"/>
        <w:jc w:val="both"/>
        <w:rPr>
          <w:rFonts w:ascii="Avenir Book" w:hAnsi="Avenir Book"/>
          <w:color w:val="000000"/>
        </w:rPr>
      </w:pPr>
      <w:r w:rsidRPr="00F85AC7">
        <w:rPr>
          <w:rFonts w:ascii="Avenir Book" w:hAnsi="Avenir Book"/>
          <w:color w:val="000000"/>
        </w:rPr>
        <w:t xml:space="preserve">This example shows that limited Oversight Boards must be adequately funded in order to be effective. And they must have the power and the willingness to withhold funding from local governments </w:t>
      </w:r>
      <w:r w:rsidR="00C647ED">
        <w:rPr>
          <w:rFonts w:ascii="Avenir Book" w:hAnsi="Avenir Book"/>
          <w:color w:val="000000"/>
        </w:rPr>
        <w:t>that</w:t>
      </w:r>
      <w:r w:rsidRPr="00F85AC7">
        <w:rPr>
          <w:rFonts w:ascii="Avenir Book" w:hAnsi="Avenir Book"/>
          <w:color w:val="000000"/>
        </w:rPr>
        <w:t xml:space="preserve"> are non-compliant with performance standards or rules promulgated by the Oversight Board.</w:t>
      </w:r>
      <w:r w:rsidRPr="00F85AC7">
        <w:rPr>
          <w:rFonts w:ascii="Avenir Book" w:hAnsi="Avenir Book"/>
          <w:color w:val="000000"/>
          <w:vertAlign w:val="superscript"/>
        </w:rPr>
        <w:endnoteReference w:id="119"/>
      </w:r>
      <w:r w:rsidRPr="00F85AC7">
        <w:rPr>
          <w:rFonts w:ascii="Avenir Book" w:hAnsi="Avenir Book"/>
          <w:color w:val="000000"/>
        </w:rPr>
        <w:t xml:space="preserve"> Without some power over the purse </w:t>
      </w:r>
      <w:r w:rsidRPr="00F85AC7">
        <w:rPr>
          <w:rFonts w:ascii="Avenir Book" w:hAnsi="Avenir Book"/>
          <w:color w:val="000000"/>
        </w:rPr>
        <w:lastRenderedPageBreak/>
        <w:t>strings, limited Oversight Boards are unlikely to be able to sufficiently mitigate potential local political influence.</w:t>
      </w:r>
      <w:r w:rsidRPr="00F85AC7">
        <w:rPr>
          <w:rFonts w:ascii="Avenir Book" w:hAnsi="Avenir Book"/>
          <w:color w:val="000000"/>
          <w:vertAlign w:val="superscript"/>
        </w:rPr>
        <w:endnoteReference w:id="120"/>
      </w:r>
    </w:p>
    <w:p w14:paraId="5E5ABF0D" w14:textId="20E4D15E" w:rsidR="00C22009" w:rsidRPr="00F85AC7" w:rsidRDefault="00C22009" w:rsidP="00F85AC7">
      <w:pPr>
        <w:spacing w:line="360" w:lineRule="auto"/>
        <w:ind w:firstLine="720"/>
        <w:jc w:val="both"/>
        <w:rPr>
          <w:rFonts w:ascii="Avenir Book" w:hAnsi="Avenir Book"/>
          <w:color w:val="000000"/>
        </w:rPr>
      </w:pPr>
      <w:r w:rsidRPr="00F85AC7">
        <w:rPr>
          <w:rFonts w:ascii="Avenir Book" w:hAnsi="Avenir Book"/>
          <w:color w:val="000000"/>
        </w:rPr>
        <w:t>Notably, another primary drawback of this model is that, because limited oversight boards may be based on either case-type or geography, the independence and quality of defense services can have high variance from place to place throughout states adopting this model.</w:t>
      </w:r>
      <w:r w:rsidRPr="00F85AC7">
        <w:rPr>
          <w:rFonts w:ascii="Avenir Book" w:hAnsi="Avenir Book"/>
          <w:color w:val="000000"/>
          <w:vertAlign w:val="superscript"/>
        </w:rPr>
        <w:endnoteReference w:id="121"/>
      </w:r>
    </w:p>
    <w:p w14:paraId="36D11BB3" w14:textId="067F5CCA" w:rsidR="00C22009" w:rsidRDefault="00C22009" w:rsidP="00533702">
      <w:pPr>
        <w:pStyle w:val="head6"/>
      </w:pPr>
      <w:bookmarkStart w:id="21" w:name="_Toc62730376"/>
      <w:r>
        <w:t>No Oversight</w:t>
      </w:r>
      <w:bookmarkEnd w:id="21"/>
    </w:p>
    <w:p w14:paraId="0F20853C" w14:textId="075E03E8" w:rsidR="00C22009" w:rsidRPr="00F85AC7" w:rsidRDefault="00C22009" w:rsidP="00F85AC7">
      <w:pPr>
        <w:spacing w:line="360" w:lineRule="auto"/>
        <w:ind w:firstLine="720"/>
        <w:jc w:val="both"/>
        <w:rPr>
          <w:rFonts w:ascii="Avenir Book" w:hAnsi="Avenir Book"/>
          <w:color w:val="000000"/>
        </w:rPr>
      </w:pPr>
      <w:r w:rsidRPr="00F85AC7">
        <w:rPr>
          <w:rFonts w:ascii="Avenir Book" w:hAnsi="Avenir Book"/>
          <w:color w:val="000000"/>
        </w:rPr>
        <w:t xml:space="preserve">The final option that </w:t>
      </w:r>
      <w:r w:rsidR="005F13FD" w:rsidRPr="00F85AC7">
        <w:rPr>
          <w:rFonts w:ascii="Avenir Book" w:hAnsi="Avenir Book"/>
          <w:color w:val="000000"/>
        </w:rPr>
        <w:t>governments</w:t>
      </w:r>
      <w:r w:rsidRPr="00F85AC7">
        <w:rPr>
          <w:rFonts w:ascii="Avenir Book" w:hAnsi="Avenir Book"/>
          <w:color w:val="000000"/>
        </w:rPr>
        <w:t xml:space="preserve"> </w:t>
      </w:r>
      <w:r w:rsidR="005F13FD" w:rsidRPr="00F85AC7">
        <w:rPr>
          <w:rFonts w:ascii="Avenir Book" w:hAnsi="Avenir Book"/>
          <w:color w:val="000000"/>
        </w:rPr>
        <w:t>have</w:t>
      </w:r>
      <w:r w:rsidRPr="00F85AC7">
        <w:rPr>
          <w:rFonts w:ascii="Avenir Book" w:hAnsi="Avenir Book"/>
          <w:color w:val="000000"/>
        </w:rPr>
        <w:t xml:space="preserve"> select</w:t>
      </w:r>
      <w:r w:rsidR="005F13FD" w:rsidRPr="00F85AC7">
        <w:rPr>
          <w:rFonts w:ascii="Avenir Book" w:hAnsi="Avenir Book"/>
          <w:color w:val="000000"/>
        </w:rPr>
        <w:t>ed</w:t>
      </w:r>
      <w:r w:rsidRPr="00F85AC7">
        <w:rPr>
          <w:rFonts w:ascii="Avenir Book" w:hAnsi="Avenir Book"/>
          <w:color w:val="000000"/>
        </w:rPr>
        <w:t xml:space="preserve"> is to have no independent oversight at all — under this model, state or local governments opt to not have an Oversight Board oversee any aspect of their indigent defense services.</w:t>
      </w:r>
      <w:r w:rsidRPr="00F85AC7">
        <w:rPr>
          <w:rFonts w:ascii="Avenir Book" w:hAnsi="Avenir Book"/>
          <w:color w:val="000000"/>
          <w:vertAlign w:val="superscript"/>
        </w:rPr>
        <w:endnoteReference w:id="122"/>
      </w:r>
      <w:r w:rsidRPr="00F85AC7">
        <w:rPr>
          <w:rFonts w:ascii="Avenir Book" w:hAnsi="Avenir Book"/>
          <w:color w:val="000000"/>
        </w:rPr>
        <w:t xml:space="preserve"> Within this category, some states, like Arizona, establish statewide associations that provide some level of training and support, but do not mandate local public defense providers to participate</w:t>
      </w:r>
      <w:r w:rsidR="00A1454A" w:rsidRPr="00F85AC7">
        <w:rPr>
          <w:rFonts w:ascii="Avenir Book" w:hAnsi="Avenir Book"/>
          <w:color w:val="000000"/>
        </w:rPr>
        <w:t>;</w:t>
      </w:r>
      <w:r w:rsidRPr="00F85AC7">
        <w:rPr>
          <w:rFonts w:ascii="Avenir Book" w:hAnsi="Avenir Book"/>
          <w:color w:val="000000"/>
        </w:rPr>
        <w:t xml:space="preserve"> nor do they impose any system of statewide oversight.</w:t>
      </w:r>
      <w:r w:rsidRPr="00F85AC7">
        <w:rPr>
          <w:rFonts w:ascii="Avenir Book" w:hAnsi="Avenir Book"/>
          <w:color w:val="000000"/>
          <w:vertAlign w:val="superscript"/>
        </w:rPr>
        <w:endnoteReference w:id="123"/>
      </w:r>
      <w:r w:rsidRPr="00F85AC7">
        <w:rPr>
          <w:rFonts w:ascii="Avenir Book" w:hAnsi="Avenir Book"/>
          <w:color w:val="000000"/>
        </w:rPr>
        <w:t xml:space="preserve"> </w:t>
      </w:r>
    </w:p>
    <w:p w14:paraId="6DA41527" w14:textId="77777777" w:rsidR="00C22009" w:rsidRPr="00F85AC7" w:rsidRDefault="00C22009" w:rsidP="00F85AC7">
      <w:pPr>
        <w:spacing w:line="360" w:lineRule="auto"/>
        <w:ind w:firstLine="720"/>
        <w:jc w:val="both"/>
        <w:rPr>
          <w:rFonts w:ascii="Avenir Book" w:hAnsi="Avenir Book"/>
          <w:color w:val="000000"/>
        </w:rPr>
      </w:pPr>
      <w:r w:rsidRPr="00F85AC7">
        <w:rPr>
          <w:rFonts w:ascii="Avenir Book" w:hAnsi="Avenir Book"/>
          <w:color w:val="000000"/>
        </w:rPr>
        <w:t>Without any mechanism to safeguard independence or ensure the efficiency, uniformity, and quality of indigent defense services, jurisdictions with no oversight are more susceptible to outside judicial and political influences than those that adopt even limited oversight.</w:t>
      </w:r>
      <w:r w:rsidRPr="00F85AC7">
        <w:rPr>
          <w:rFonts w:ascii="Avenir Book" w:hAnsi="Avenir Book"/>
          <w:color w:val="000000"/>
          <w:vertAlign w:val="superscript"/>
        </w:rPr>
        <w:endnoteReference w:id="124"/>
      </w:r>
      <w:r w:rsidRPr="00F85AC7">
        <w:rPr>
          <w:rFonts w:ascii="Avenir Book" w:hAnsi="Avenir Book"/>
          <w:color w:val="000000"/>
        </w:rPr>
        <w:t xml:space="preserve"> In state or local governments that deliver indigent defense services without any form of oversight, there is also a significant risk of “unjustified variations” in the quality of those services from place to place.</w:t>
      </w:r>
      <w:r w:rsidRPr="00F85AC7">
        <w:rPr>
          <w:rFonts w:ascii="Avenir Book" w:hAnsi="Avenir Book"/>
          <w:color w:val="000000"/>
          <w:vertAlign w:val="superscript"/>
        </w:rPr>
        <w:endnoteReference w:id="125"/>
      </w:r>
    </w:p>
    <w:p w14:paraId="4ACC6883" w14:textId="77777777" w:rsidR="00C22009" w:rsidRPr="00F85AC7" w:rsidRDefault="00C22009" w:rsidP="00F85AC7">
      <w:pPr>
        <w:spacing w:line="360" w:lineRule="auto"/>
        <w:ind w:firstLine="720"/>
        <w:jc w:val="both"/>
        <w:rPr>
          <w:rFonts w:ascii="Avenir Book" w:hAnsi="Avenir Book"/>
          <w:color w:val="000000"/>
        </w:rPr>
      </w:pPr>
      <w:r w:rsidRPr="00F85AC7">
        <w:rPr>
          <w:rFonts w:ascii="Avenir Book" w:hAnsi="Avenir Book"/>
          <w:color w:val="000000"/>
        </w:rPr>
        <w:t>As something of a half-measure, some states without independent Oversight Boards have adopted “advisory boards” to provide suggestions and feedback to local governments regarding issues of indigent defense. Alabama is an example of this structure, where “each circuit’s five-person advisory board is composed of: the presiding circuit court judge; the president of the local circuit bar association; and three lawyers selected by the circuit bar association.”</w:t>
      </w:r>
      <w:r w:rsidRPr="00F85AC7">
        <w:rPr>
          <w:rFonts w:ascii="Avenir Book" w:hAnsi="Avenir Book"/>
          <w:color w:val="000000"/>
          <w:vertAlign w:val="superscript"/>
        </w:rPr>
        <w:endnoteReference w:id="126"/>
      </w:r>
    </w:p>
    <w:p w14:paraId="1ED2406F" w14:textId="6FF9A987" w:rsidR="00C22009" w:rsidRPr="00F85AC7" w:rsidRDefault="00C22009" w:rsidP="00F85AC7">
      <w:pPr>
        <w:spacing w:line="360" w:lineRule="auto"/>
        <w:ind w:firstLine="720"/>
        <w:jc w:val="both"/>
        <w:rPr>
          <w:rFonts w:ascii="Avenir Book" w:hAnsi="Avenir Book"/>
          <w:color w:val="000000"/>
        </w:rPr>
      </w:pPr>
      <w:r w:rsidRPr="00F85AC7">
        <w:rPr>
          <w:rFonts w:ascii="Avenir Book" w:hAnsi="Avenir Book"/>
          <w:color w:val="000000"/>
        </w:rPr>
        <w:lastRenderedPageBreak/>
        <w:t>In sum, a state or local government may create a non-partisan and independent Oversight Board to safeguard the independence of the public defender, and to promote the efficiency, uniformity, and quality of indigent defense services.</w:t>
      </w:r>
      <w:r w:rsidRPr="00F85AC7">
        <w:rPr>
          <w:rFonts w:ascii="Avenir Book" w:hAnsi="Avenir Book"/>
          <w:color w:val="000000"/>
          <w:vertAlign w:val="superscript"/>
        </w:rPr>
        <w:endnoteReference w:id="127"/>
      </w:r>
      <w:r w:rsidRPr="00F85AC7">
        <w:rPr>
          <w:rFonts w:ascii="Avenir Book" w:hAnsi="Avenir Book"/>
          <w:color w:val="000000"/>
        </w:rPr>
        <w:t xml:space="preserve"> Optimally, the Oversight Board is organized so that it is reasonably independent from judicial and political influences.</w:t>
      </w:r>
      <w:r w:rsidRPr="00F85AC7">
        <w:rPr>
          <w:rFonts w:ascii="Avenir Book" w:hAnsi="Avenir Book"/>
          <w:color w:val="000000"/>
          <w:vertAlign w:val="superscript"/>
        </w:rPr>
        <w:endnoteReference w:id="128"/>
      </w:r>
      <w:r w:rsidRPr="00F85AC7">
        <w:rPr>
          <w:rFonts w:ascii="Avenir Book" w:hAnsi="Avenir Book"/>
          <w:color w:val="000000"/>
        </w:rPr>
        <w:t xml:space="preserve"> </w:t>
      </w:r>
    </w:p>
    <w:p w14:paraId="02FEA9CF" w14:textId="7A5FAA8F" w:rsidR="00C22009" w:rsidRDefault="00C22009" w:rsidP="00F85AC7">
      <w:pPr>
        <w:spacing w:line="360" w:lineRule="auto"/>
        <w:ind w:firstLine="720"/>
        <w:jc w:val="both"/>
        <w:rPr>
          <w:rFonts w:ascii="Avenir Book" w:hAnsi="Avenir Book"/>
          <w:color w:val="000000"/>
        </w:rPr>
      </w:pPr>
      <w:r w:rsidRPr="00F85AC7">
        <w:rPr>
          <w:rFonts w:ascii="Avenir Book" w:hAnsi="Avenir Book"/>
          <w:color w:val="000000"/>
        </w:rPr>
        <w:t>Below is a table created by the Sixth Amendment Center to show how the states are divided by Oversight Board model:</w:t>
      </w:r>
    </w:p>
    <w:p w14:paraId="1A803E8F" w14:textId="1DDCED44" w:rsidR="00CE6AEB" w:rsidRDefault="000E2E79" w:rsidP="00F85AC7">
      <w:pPr>
        <w:spacing w:line="360" w:lineRule="auto"/>
        <w:jc w:val="both"/>
        <w:rPr>
          <w:rFonts w:ascii="Avenir Book" w:hAnsi="Avenir Book"/>
          <w:color w:val="000000"/>
        </w:rPr>
      </w:pPr>
      <w:r>
        <w:rPr>
          <w:noProof/>
          <w:sz w:val="10"/>
          <w:szCs w:val="10"/>
        </w:rPr>
        <w:pict w14:anchorId="7FEDF2FA">
          <v:rect id="_x0000_i1038" alt="" style="width:468pt;height:.05pt;mso-width-percent:0;mso-height-percent:0;mso-width-percent:0;mso-height-percent:0" o:hralign="center" o:hrstd="t" o:hr="t" fillcolor="#a0a0a0" stroked="f"/>
        </w:pict>
      </w:r>
    </w:p>
    <w:tbl>
      <w:tblPr>
        <w:tblStyle w:val="TableGrid"/>
        <w:tblW w:w="0" w:type="auto"/>
        <w:tblLook w:val="04A0" w:firstRow="1" w:lastRow="0" w:firstColumn="1" w:lastColumn="0" w:noHBand="0" w:noVBand="1"/>
      </w:tblPr>
      <w:tblGrid>
        <w:gridCol w:w="2875"/>
        <w:gridCol w:w="3780"/>
        <w:gridCol w:w="2695"/>
      </w:tblGrid>
      <w:tr w:rsidR="00CE6AEB" w14:paraId="18B7ED10" w14:textId="77777777" w:rsidTr="00CE6AEB">
        <w:tc>
          <w:tcPr>
            <w:tcW w:w="9350" w:type="dxa"/>
            <w:gridSpan w:val="3"/>
            <w:tcBorders>
              <w:top w:val="nil"/>
              <w:left w:val="nil"/>
              <w:right w:val="nil"/>
            </w:tcBorders>
            <w:shd w:val="clear" w:color="auto" w:fill="FFFFFF" w:themeFill="background1"/>
          </w:tcPr>
          <w:p w14:paraId="1C5F8D2E" w14:textId="1A61BBDF" w:rsidR="00CE6AEB" w:rsidRPr="00CE6AEB" w:rsidRDefault="00CE6AEB" w:rsidP="00CE6AEB">
            <w:pPr>
              <w:pStyle w:val="head4"/>
              <w:spacing w:before="80" w:after="80"/>
              <w:jc w:val="center"/>
            </w:pPr>
            <w:r w:rsidRPr="00CE6AEB">
              <w:t>State Oversight Models of Public Defense Functions</w:t>
            </w:r>
            <w:r w:rsidR="00C647ED" w:rsidRPr="00C647ED">
              <w:rPr>
                <w:rFonts w:ascii="Avenir Book" w:hAnsi="Avenir Book"/>
                <w:b w:val="0"/>
                <w:bCs w:val="0"/>
                <w:color w:val="000000"/>
                <w:sz w:val="24"/>
                <w:szCs w:val="24"/>
                <w:vertAlign w:val="superscript"/>
              </w:rPr>
              <w:endnoteReference w:id="129"/>
            </w:r>
          </w:p>
        </w:tc>
      </w:tr>
      <w:tr w:rsidR="00987E1A" w14:paraId="4400A699" w14:textId="77777777" w:rsidTr="00742BD0">
        <w:tc>
          <w:tcPr>
            <w:tcW w:w="2875" w:type="dxa"/>
            <w:vMerge w:val="restart"/>
            <w:shd w:val="clear" w:color="auto" w:fill="91211B"/>
          </w:tcPr>
          <w:p w14:paraId="671FCB3B" w14:textId="77777777" w:rsidR="00742BD0" w:rsidRDefault="00742BD0" w:rsidP="00987E1A">
            <w:pPr>
              <w:spacing w:line="276" w:lineRule="auto"/>
              <w:jc w:val="center"/>
              <w:rPr>
                <w:rFonts w:ascii="Avenir Black Oblique" w:hAnsi="Avenir Black Oblique"/>
                <w:b/>
                <w:bCs/>
                <w:i/>
                <w:iCs/>
                <w:color w:val="000000"/>
              </w:rPr>
            </w:pPr>
          </w:p>
          <w:p w14:paraId="10955949" w14:textId="77777777" w:rsidR="00742BD0" w:rsidRDefault="00742BD0" w:rsidP="00987E1A">
            <w:pPr>
              <w:spacing w:line="276" w:lineRule="auto"/>
              <w:jc w:val="center"/>
              <w:rPr>
                <w:rFonts w:ascii="Avenir Black Oblique" w:hAnsi="Avenir Black Oblique"/>
                <w:b/>
                <w:bCs/>
                <w:i/>
                <w:iCs/>
                <w:color w:val="000000"/>
              </w:rPr>
            </w:pPr>
          </w:p>
          <w:p w14:paraId="55F39163" w14:textId="49C473A5" w:rsidR="00987E1A" w:rsidRPr="00742BD0" w:rsidRDefault="00987E1A" w:rsidP="00987E1A">
            <w:pPr>
              <w:spacing w:line="276" w:lineRule="auto"/>
              <w:jc w:val="center"/>
              <w:rPr>
                <w:rFonts w:ascii="Avenir Black Oblique" w:hAnsi="Avenir Black Oblique"/>
                <w:b/>
                <w:bCs/>
                <w:i/>
                <w:iCs/>
                <w:color w:val="FFFFFF" w:themeColor="background1"/>
              </w:rPr>
            </w:pPr>
            <w:r w:rsidRPr="00742BD0">
              <w:rPr>
                <w:rFonts w:ascii="Avenir Black Oblique" w:hAnsi="Avenir Black Oblique"/>
                <w:b/>
                <w:bCs/>
                <w:i/>
                <w:iCs/>
                <w:color w:val="FFFFFF" w:themeColor="background1"/>
              </w:rPr>
              <w:t>Statewide Commission</w:t>
            </w:r>
          </w:p>
          <w:p w14:paraId="21C6C00D" w14:textId="77777777" w:rsidR="00987E1A" w:rsidRPr="00CE6AEB" w:rsidRDefault="00987E1A" w:rsidP="00987E1A">
            <w:pPr>
              <w:spacing w:line="276" w:lineRule="auto"/>
              <w:jc w:val="center"/>
              <w:rPr>
                <w:rFonts w:ascii="Avenir Heavy" w:hAnsi="Avenir Heavy"/>
                <w:b/>
                <w:bCs/>
                <w:color w:val="F2F2F2" w:themeColor="background1" w:themeShade="F2"/>
                <w:sz w:val="22"/>
                <w:szCs w:val="22"/>
              </w:rPr>
            </w:pPr>
            <w:r w:rsidRPr="00CE6AEB">
              <w:rPr>
                <w:rFonts w:ascii="Avenir Heavy" w:hAnsi="Avenir Heavy"/>
                <w:b/>
                <w:bCs/>
                <w:color w:val="F2F2F2" w:themeColor="background1" w:themeShade="F2"/>
                <w:sz w:val="22"/>
                <w:szCs w:val="22"/>
              </w:rPr>
              <w:t>21 States</w:t>
            </w:r>
          </w:p>
          <w:p w14:paraId="548D3224" w14:textId="06E3FD28" w:rsidR="00987E1A" w:rsidRDefault="00987E1A" w:rsidP="00987E1A">
            <w:pPr>
              <w:spacing w:line="276" w:lineRule="auto"/>
              <w:jc w:val="center"/>
              <w:rPr>
                <w:rFonts w:ascii="Avenir Book" w:hAnsi="Avenir Book"/>
                <w:color w:val="000000"/>
              </w:rPr>
            </w:pPr>
            <w:r w:rsidRPr="00CE6AEB">
              <w:rPr>
                <w:rFonts w:ascii="Avenir Heavy" w:hAnsi="Avenir Heavy"/>
                <w:b/>
                <w:bCs/>
                <w:color w:val="F2F2F2" w:themeColor="background1" w:themeShade="F2"/>
                <w:sz w:val="22"/>
                <w:szCs w:val="22"/>
              </w:rPr>
              <w:t>42%</w:t>
            </w:r>
          </w:p>
        </w:tc>
        <w:tc>
          <w:tcPr>
            <w:tcW w:w="3780" w:type="dxa"/>
            <w:shd w:val="clear" w:color="auto" w:fill="404040" w:themeFill="text1" w:themeFillTint="BF"/>
          </w:tcPr>
          <w:p w14:paraId="47C95F2D" w14:textId="20FA66C7" w:rsidR="00987E1A" w:rsidRPr="00742BD0" w:rsidRDefault="00987E1A" w:rsidP="00742BD0">
            <w:pPr>
              <w:spacing w:line="276" w:lineRule="auto"/>
              <w:ind w:firstLine="79"/>
              <w:jc w:val="both"/>
              <w:rPr>
                <w:rFonts w:ascii="Avenir Black Oblique" w:hAnsi="Avenir Black Oblique"/>
                <w:b/>
                <w:bCs/>
                <w:i/>
                <w:iCs/>
                <w:color w:val="FFFFFF" w:themeColor="background1"/>
              </w:rPr>
            </w:pPr>
            <w:r w:rsidRPr="00742BD0">
              <w:rPr>
                <w:rFonts w:ascii="Avenir Black Oblique" w:hAnsi="Avenir Black Oblique"/>
                <w:b/>
                <w:bCs/>
                <w:i/>
                <w:iCs/>
                <w:color w:val="FFFFFF" w:themeColor="background1"/>
              </w:rPr>
              <w:t>Independent Commissions</w:t>
            </w:r>
          </w:p>
        </w:tc>
        <w:tc>
          <w:tcPr>
            <w:tcW w:w="2695" w:type="dxa"/>
            <w:shd w:val="clear" w:color="auto" w:fill="404040" w:themeFill="text1" w:themeFillTint="BF"/>
          </w:tcPr>
          <w:p w14:paraId="135521DC" w14:textId="5B982A62" w:rsidR="00987E1A" w:rsidRPr="00742BD0" w:rsidRDefault="00987E1A" w:rsidP="00987E1A">
            <w:pPr>
              <w:spacing w:line="276" w:lineRule="auto"/>
              <w:jc w:val="both"/>
              <w:rPr>
                <w:rFonts w:ascii="Avenir Black Oblique" w:hAnsi="Avenir Black Oblique"/>
                <w:b/>
                <w:bCs/>
                <w:i/>
                <w:iCs/>
                <w:color w:val="FFFFFF" w:themeColor="background1"/>
              </w:rPr>
            </w:pPr>
            <w:r w:rsidRPr="00742BD0">
              <w:rPr>
                <w:rFonts w:ascii="Avenir Black Oblique" w:hAnsi="Avenir Black Oblique"/>
                <w:b/>
                <w:bCs/>
                <w:i/>
                <w:iCs/>
                <w:color w:val="FFFFFF" w:themeColor="background1"/>
              </w:rPr>
              <w:t>Non-Independent</w:t>
            </w:r>
          </w:p>
        </w:tc>
      </w:tr>
      <w:tr w:rsidR="00987E1A" w14:paraId="194AA31F" w14:textId="77777777" w:rsidTr="00742BD0">
        <w:tc>
          <w:tcPr>
            <w:tcW w:w="2875" w:type="dxa"/>
            <w:vMerge/>
            <w:shd w:val="clear" w:color="auto" w:fill="91211B"/>
          </w:tcPr>
          <w:p w14:paraId="680425D4" w14:textId="77777777" w:rsidR="00987E1A" w:rsidRDefault="00987E1A" w:rsidP="00987E1A">
            <w:pPr>
              <w:spacing w:line="276" w:lineRule="auto"/>
              <w:jc w:val="center"/>
              <w:rPr>
                <w:rFonts w:ascii="Avenir Book" w:hAnsi="Avenir Book"/>
                <w:color w:val="000000"/>
              </w:rPr>
            </w:pPr>
          </w:p>
        </w:tc>
        <w:tc>
          <w:tcPr>
            <w:tcW w:w="3780" w:type="dxa"/>
          </w:tcPr>
          <w:p w14:paraId="072B9066" w14:textId="26EF5E60" w:rsidR="00987E1A" w:rsidRPr="00742BD0" w:rsidRDefault="00987E1A" w:rsidP="00742BD0">
            <w:pPr>
              <w:ind w:firstLine="79"/>
              <w:jc w:val="both"/>
              <w:rPr>
                <w:rFonts w:ascii="Avenir Book" w:hAnsi="Avenir Book"/>
                <w:color w:val="000000"/>
                <w:sz w:val="21"/>
                <w:szCs w:val="21"/>
              </w:rPr>
            </w:pPr>
            <w:r w:rsidRPr="00742BD0">
              <w:rPr>
                <w:rFonts w:ascii="Avenir Book" w:hAnsi="Avenir Book"/>
                <w:color w:val="000000"/>
                <w:sz w:val="21"/>
                <w:szCs w:val="21"/>
              </w:rPr>
              <w:t>Connecticut</w:t>
            </w:r>
            <w:r w:rsidR="00742BD0" w:rsidRPr="00742BD0">
              <w:rPr>
                <w:rFonts w:ascii="Avenir Book" w:hAnsi="Avenir Book"/>
                <w:color w:val="000000"/>
                <w:sz w:val="21"/>
                <w:szCs w:val="21"/>
              </w:rPr>
              <w:t xml:space="preserve">        Minnesota</w:t>
            </w:r>
          </w:p>
          <w:p w14:paraId="5B4C9DDF" w14:textId="1799CF45" w:rsidR="00742BD0" w:rsidRPr="00742BD0" w:rsidRDefault="00987E1A" w:rsidP="00742BD0">
            <w:pPr>
              <w:ind w:firstLine="79"/>
              <w:jc w:val="both"/>
              <w:rPr>
                <w:rFonts w:ascii="Avenir Book" w:hAnsi="Avenir Book"/>
                <w:color w:val="000000"/>
                <w:sz w:val="21"/>
                <w:szCs w:val="21"/>
              </w:rPr>
            </w:pPr>
            <w:r w:rsidRPr="00742BD0">
              <w:rPr>
                <w:rFonts w:ascii="Avenir Book" w:hAnsi="Avenir Book"/>
                <w:color w:val="000000"/>
                <w:sz w:val="21"/>
                <w:szCs w:val="21"/>
              </w:rPr>
              <w:t>Kentucky</w:t>
            </w:r>
            <w:r w:rsidR="00742BD0" w:rsidRPr="00742BD0">
              <w:rPr>
                <w:rFonts w:ascii="Avenir Book" w:hAnsi="Avenir Book"/>
                <w:color w:val="000000"/>
                <w:sz w:val="21"/>
                <w:szCs w:val="21"/>
              </w:rPr>
              <w:t xml:space="preserve">             Montana</w:t>
            </w:r>
          </w:p>
          <w:p w14:paraId="285EB958" w14:textId="5C0BC1D8" w:rsidR="00742BD0" w:rsidRPr="00742BD0" w:rsidRDefault="00742BD0" w:rsidP="00742BD0">
            <w:pPr>
              <w:ind w:firstLine="79"/>
              <w:jc w:val="both"/>
              <w:rPr>
                <w:rFonts w:ascii="Avenir Book" w:hAnsi="Avenir Book"/>
                <w:color w:val="000000"/>
                <w:sz w:val="21"/>
                <w:szCs w:val="21"/>
              </w:rPr>
            </w:pPr>
            <w:r w:rsidRPr="00742BD0">
              <w:rPr>
                <w:rFonts w:ascii="Avenir Book" w:hAnsi="Avenir Book"/>
                <w:color w:val="000000"/>
                <w:sz w:val="21"/>
                <w:szCs w:val="21"/>
              </w:rPr>
              <w:t>Louisiana             New Hampshire</w:t>
            </w:r>
          </w:p>
          <w:p w14:paraId="00B35852" w14:textId="15140DAE" w:rsidR="00742BD0" w:rsidRPr="00742BD0" w:rsidRDefault="00742BD0" w:rsidP="00742BD0">
            <w:pPr>
              <w:ind w:firstLine="79"/>
              <w:jc w:val="both"/>
              <w:rPr>
                <w:rFonts w:ascii="Avenir Book" w:hAnsi="Avenir Book"/>
                <w:color w:val="000000"/>
                <w:sz w:val="21"/>
                <w:szCs w:val="21"/>
              </w:rPr>
            </w:pPr>
            <w:r w:rsidRPr="00742BD0">
              <w:rPr>
                <w:rFonts w:ascii="Avenir Book" w:hAnsi="Avenir Book"/>
                <w:color w:val="000000"/>
                <w:sz w:val="21"/>
                <w:szCs w:val="21"/>
              </w:rPr>
              <w:t>Maine                  New Mexico</w:t>
            </w:r>
          </w:p>
          <w:p w14:paraId="0E72E142" w14:textId="47CBA5A3" w:rsidR="00742BD0" w:rsidRPr="00742BD0" w:rsidRDefault="00742BD0" w:rsidP="00742BD0">
            <w:pPr>
              <w:ind w:firstLine="79"/>
              <w:jc w:val="both"/>
              <w:rPr>
                <w:rFonts w:ascii="Avenir Book" w:hAnsi="Avenir Book"/>
                <w:color w:val="000000"/>
                <w:sz w:val="21"/>
                <w:szCs w:val="21"/>
              </w:rPr>
            </w:pPr>
            <w:r w:rsidRPr="00742BD0">
              <w:rPr>
                <w:rFonts w:ascii="Avenir Book" w:hAnsi="Avenir Book"/>
                <w:color w:val="000000"/>
                <w:sz w:val="21"/>
                <w:szCs w:val="21"/>
              </w:rPr>
              <w:t>Maryland             North Dakota</w:t>
            </w:r>
          </w:p>
          <w:p w14:paraId="59AC61C6" w14:textId="63F116B6" w:rsidR="00742BD0" w:rsidRPr="00742BD0" w:rsidRDefault="00742BD0" w:rsidP="00742BD0">
            <w:pPr>
              <w:ind w:firstLine="79"/>
              <w:jc w:val="both"/>
              <w:rPr>
                <w:rFonts w:ascii="Avenir Book" w:hAnsi="Avenir Book"/>
                <w:color w:val="000000"/>
                <w:sz w:val="21"/>
                <w:szCs w:val="21"/>
              </w:rPr>
            </w:pPr>
            <w:r w:rsidRPr="00742BD0">
              <w:rPr>
                <w:rFonts w:ascii="Avenir Book" w:hAnsi="Avenir Book"/>
                <w:color w:val="000000"/>
                <w:sz w:val="21"/>
                <w:szCs w:val="21"/>
              </w:rPr>
              <w:t>Massachusetts     Utah</w:t>
            </w:r>
          </w:p>
          <w:p w14:paraId="022C2597" w14:textId="1975FEB7" w:rsidR="00742BD0" w:rsidRPr="00742BD0" w:rsidRDefault="00742BD0" w:rsidP="00742BD0">
            <w:pPr>
              <w:ind w:firstLine="79"/>
              <w:jc w:val="both"/>
              <w:rPr>
                <w:rFonts w:ascii="Avenir Book" w:hAnsi="Avenir Book"/>
                <w:color w:val="000000"/>
                <w:sz w:val="21"/>
                <w:szCs w:val="21"/>
              </w:rPr>
            </w:pPr>
            <w:r w:rsidRPr="00742BD0">
              <w:rPr>
                <w:rFonts w:ascii="Avenir Book" w:hAnsi="Avenir Book"/>
                <w:color w:val="000000"/>
                <w:sz w:val="21"/>
                <w:szCs w:val="21"/>
              </w:rPr>
              <w:t>Michigan             Virginia</w:t>
            </w:r>
          </w:p>
        </w:tc>
        <w:tc>
          <w:tcPr>
            <w:tcW w:w="2695" w:type="dxa"/>
          </w:tcPr>
          <w:p w14:paraId="2BB8CDB3" w14:textId="77777777" w:rsidR="00987E1A" w:rsidRPr="00742BD0" w:rsidRDefault="00742BD0" w:rsidP="00742BD0">
            <w:pPr>
              <w:jc w:val="center"/>
              <w:rPr>
                <w:rFonts w:ascii="Avenir Book" w:hAnsi="Avenir Book"/>
                <w:color w:val="000000"/>
                <w:sz w:val="21"/>
                <w:szCs w:val="21"/>
              </w:rPr>
            </w:pPr>
            <w:r w:rsidRPr="00742BD0">
              <w:rPr>
                <w:rFonts w:ascii="Avenir Book" w:hAnsi="Avenir Book"/>
                <w:color w:val="000000"/>
                <w:sz w:val="21"/>
                <w:szCs w:val="21"/>
              </w:rPr>
              <w:t>Arkansas</w:t>
            </w:r>
          </w:p>
          <w:p w14:paraId="2EA33691" w14:textId="77777777" w:rsidR="00742BD0" w:rsidRPr="00742BD0" w:rsidRDefault="00742BD0" w:rsidP="00742BD0">
            <w:pPr>
              <w:jc w:val="center"/>
              <w:rPr>
                <w:rFonts w:ascii="Avenir Book" w:hAnsi="Avenir Book"/>
                <w:color w:val="000000"/>
                <w:sz w:val="21"/>
                <w:szCs w:val="21"/>
              </w:rPr>
            </w:pPr>
            <w:r w:rsidRPr="00742BD0">
              <w:rPr>
                <w:rFonts w:ascii="Avenir Book" w:hAnsi="Avenir Book"/>
                <w:color w:val="000000"/>
                <w:sz w:val="21"/>
                <w:szCs w:val="21"/>
              </w:rPr>
              <w:t>Colorado</w:t>
            </w:r>
          </w:p>
          <w:p w14:paraId="64C45E37" w14:textId="77777777" w:rsidR="00742BD0" w:rsidRPr="00742BD0" w:rsidRDefault="00742BD0" w:rsidP="00742BD0">
            <w:pPr>
              <w:jc w:val="center"/>
              <w:rPr>
                <w:rFonts w:ascii="Avenir Book" w:hAnsi="Avenir Book"/>
                <w:color w:val="000000"/>
                <w:sz w:val="21"/>
                <w:szCs w:val="21"/>
              </w:rPr>
            </w:pPr>
            <w:r w:rsidRPr="00742BD0">
              <w:rPr>
                <w:rFonts w:ascii="Avenir Book" w:hAnsi="Avenir Book"/>
                <w:color w:val="000000"/>
                <w:sz w:val="21"/>
                <w:szCs w:val="21"/>
              </w:rPr>
              <w:t>Hawaii</w:t>
            </w:r>
          </w:p>
          <w:p w14:paraId="7DA41697" w14:textId="77777777" w:rsidR="00742BD0" w:rsidRPr="00742BD0" w:rsidRDefault="00742BD0" w:rsidP="00742BD0">
            <w:pPr>
              <w:jc w:val="center"/>
              <w:rPr>
                <w:rFonts w:ascii="Avenir Book" w:hAnsi="Avenir Book"/>
                <w:color w:val="000000"/>
                <w:sz w:val="21"/>
                <w:szCs w:val="21"/>
              </w:rPr>
            </w:pPr>
            <w:r w:rsidRPr="00742BD0">
              <w:rPr>
                <w:rFonts w:ascii="Avenir Book" w:hAnsi="Avenir Book"/>
                <w:color w:val="000000"/>
                <w:sz w:val="21"/>
                <w:szCs w:val="21"/>
              </w:rPr>
              <w:t>Missouri</w:t>
            </w:r>
          </w:p>
          <w:p w14:paraId="758C3962" w14:textId="77777777" w:rsidR="00742BD0" w:rsidRPr="00742BD0" w:rsidRDefault="00742BD0" w:rsidP="00742BD0">
            <w:pPr>
              <w:jc w:val="center"/>
              <w:rPr>
                <w:rFonts w:ascii="Avenir Book" w:hAnsi="Avenir Book"/>
                <w:color w:val="000000"/>
                <w:sz w:val="21"/>
                <w:szCs w:val="21"/>
              </w:rPr>
            </w:pPr>
            <w:r w:rsidRPr="00742BD0">
              <w:rPr>
                <w:rFonts w:ascii="Avenir Book" w:hAnsi="Avenir Book"/>
                <w:color w:val="000000"/>
                <w:sz w:val="21"/>
                <w:szCs w:val="21"/>
              </w:rPr>
              <w:t>Oregon</w:t>
            </w:r>
          </w:p>
          <w:p w14:paraId="04DC6B43" w14:textId="77777777" w:rsidR="00742BD0" w:rsidRPr="00742BD0" w:rsidRDefault="00742BD0" w:rsidP="00742BD0">
            <w:pPr>
              <w:jc w:val="center"/>
              <w:rPr>
                <w:rFonts w:ascii="Avenir Book" w:hAnsi="Avenir Book"/>
                <w:color w:val="000000"/>
                <w:sz w:val="21"/>
                <w:szCs w:val="21"/>
              </w:rPr>
            </w:pPr>
            <w:r w:rsidRPr="00742BD0">
              <w:rPr>
                <w:rFonts w:ascii="Avenir Book" w:hAnsi="Avenir Book"/>
                <w:color w:val="000000"/>
                <w:sz w:val="21"/>
                <w:szCs w:val="21"/>
              </w:rPr>
              <w:t>West Virginia</w:t>
            </w:r>
          </w:p>
          <w:p w14:paraId="72AAB0B9" w14:textId="09EDB750" w:rsidR="00742BD0" w:rsidRPr="00742BD0" w:rsidRDefault="00742BD0" w:rsidP="00742BD0">
            <w:pPr>
              <w:jc w:val="center"/>
              <w:rPr>
                <w:rFonts w:ascii="Avenir Book" w:hAnsi="Avenir Book"/>
                <w:color w:val="000000"/>
                <w:sz w:val="21"/>
                <w:szCs w:val="21"/>
              </w:rPr>
            </w:pPr>
            <w:r w:rsidRPr="00742BD0">
              <w:rPr>
                <w:rFonts w:ascii="Avenir Book" w:hAnsi="Avenir Book"/>
                <w:color w:val="000000"/>
                <w:sz w:val="21"/>
                <w:szCs w:val="21"/>
              </w:rPr>
              <w:t>Wisconsin</w:t>
            </w:r>
          </w:p>
        </w:tc>
      </w:tr>
      <w:tr w:rsidR="00987E1A" w14:paraId="51CF5FAC" w14:textId="77777777" w:rsidTr="00742BD0">
        <w:tc>
          <w:tcPr>
            <w:tcW w:w="2875" w:type="dxa"/>
            <w:vMerge w:val="restart"/>
            <w:shd w:val="clear" w:color="auto" w:fill="91211B"/>
          </w:tcPr>
          <w:p w14:paraId="2C5E6ED3" w14:textId="77777777" w:rsidR="00742BD0" w:rsidRDefault="00742BD0" w:rsidP="00987E1A">
            <w:pPr>
              <w:spacing w:line="276" w:lineRule="auto"/>
              <w:jc w:val="center"/>
              <w:rPr>
                <w:rFonts w:ascii="Avenir Black Oblique" w:hAnsi="Avenir Black Oblique"/>
                <w:b/>
                <w:bCs/>
                <w:i/>
                <w:iCs/>
                <w:color w:val="000000"/>
              </w:rPr>
            </w:pPr>
          </w:p>
          <w:p w14:paraId="2A5DD6D6" w14:textId="40D7A840" w:rsidR="00987E1A" w:rsidRPr="00742BD0" w:rsidRDefault="00987E1A" w:rsidP="00987E1A">
            <w:pPr>
              <w:spacing w:line="276" w:lineRule="auto"/>
              <w:jc w:val="center"/>
              <w:rPr>
                <w:rFonts w:ascii="Avenir Black Oblique" w:hAnsi="Avenir Black Oblique"/>
                <w:b/>
                <w:bCs/>
                <w:i/>
                <w:iCs/>
                <w:color w:val="FFFFFF" w:themeColor="background1"/>
              </w:rPr>
            </w:pPr>
            <w:r w:rsidRPr="00742BD0">
              <w:rPr>
                <w:rFonts w:ascii="Avenir Black Oblique" w:hAnsi="Avenir Black Oblique"/>
                <w:b/>
                <w:bCs/>
                <w:i/>
                <w:iCs/>
                <w:color w:val="FFFFFF" w:themeColor="background1"/>
              </w:rPr>
              <w:t>Limited Commission</w:t>
            </w:r>
          </w:p>
          <w:p w14:paraId="18774DDC" w14:textId="77777777" w:rsidR="00987E1A" w:rsidRPr="00CE6AEB" w:rsidRDefault="00987E1A" w:rsidP="00987E1A">
            <w:pPr>
              <w:spacing w:line="276" w:lineRule="auto"/>
              <w:jc w:val="center"/>
              <w:rPr>
                <w:rFonts w:ascii="Avenir Heavy" w:hAnsi="Avenir Heavy"/>
                <w:b/>
                <w:bCs/>
                <w:color w:val="F2F2F2" w:themeColor="background1" w:themeShade="F2"/>
                <w:sz w:val="22"/>
                <w:szCs w:val="22"/>
              </w:rPr>
            </w:pPr>
            <w:r w:rsidRPr="00CE6AEB">
              <w:rPr>
                <w:rFonts w:ascii="Avenir Heavy" w:hAnsi="Avenir Heavy"/>
                <w:b/>
                <w:bCs/>
                <w:color w:val="F2F2F2" w:themeColor="background1" w:themeShade="F2"/>
                <w:sz w:val="22"/>
                <w:szCs w:val="22"/>
              </w:rPr>
              <w:t>13 States</w:t>
            </w:r>
          </w:p>
          <w:p w14:paraId="5F6094AE" w14:textId="298626C8" w:rsidR="00987E1A" w:rsidRDefault="00987E1A" w:rsidP="00987E1A">
            <w:pPr>
              <w:spacing w:line="276" w:lineRule="auto"/>
              <w:jc w:val="center"/>
              <w:rPr>
                <w:rFonts w:ascii="Avenir Book" w:hAnsi="Avenir Book"/>
                <w:color w:val="000000"/>
              </w:rPr>
            </w:pPr>
            <w:r w:rsidRPr="00CE6AEB">
              <w:rPr>
                <w:rFonts w:ascii="Avenir Heavy" w:hAnsi="Avenir Heavy"/>
                <w:b/>
                <w:bCs/>
                <w:color w:val="F2F2F2" w:themeColor="background1" w:themeShade="F2"/>
                <w:sz w:val="22"/>
                <w:szCs w:val="22"/>
              </w:rPr>
              <w:t>26%</w:t>
            </w:r>
          </w:p>
        </w:tc>
        <w:tc>
          <w:tcPr>
            <w:tcW w:w="3780" w:type="dxa"/>
            <w:shd w:val="clear" w:color="auto" w:fill="404040" w:themeFill="text1" w:themeFillTint="BF"/>
          </w:tcPr>
          <w:p w14:paraId="1734CECD" w14:textId="647130EA" w:rsidR="00987E1A" w:rsidRPr="00742BD0" w:rsidRDefault="00987E1A" w:rsidP="00742BD0">
            <w:pPr>
              <w:spacing w:line="276" w:lineRule="auto"/>
              <w:ind w:firstLine="79"/>
              <w:jc w:val="both"/>
              <w:rPr>
                <w:rFonts w:ascii="Avenir Black Oblique" w:hAnsi="Avenir Black Oblique"/>
                <w:b/>
                <w:bCs/>
                <w:i/>
                <w:iCs/>
                <w:color w:val="FFFFFF" w:themeColor="background1"/>
              </w:rPr>
            </w:pPr>
            <w:r w:rsidRPr="00742BD0">
              <w:rPr>
                <w:rFonts w:ascii="Avenir Black Oblique" w:hAnsi="Avenir Black Oblique"/>
                <w:b/>
                <w:bCs/>
                <w:i/>
                <w:iCs/>
                <w:color w:val="FFFFFF" w:themeColor="background1"/>
              </w:rPr>
              <w:t>Independent Commissions</w:t>
            </w:r>
          </w:p>
        </w:tc>
        <w:tc>
          <w:tcPr>
            <w:tcW w:w="2695" w:type="dxa"/>
            <w:shd w:val="clear" w:color="auto" w:fill="404040" w:themeFill="text1" w:themeFillTint="BF"/>
          </w:tcPr>
          <w:p w14:paraId="5FEE3E0D" w14:textId="62840B7F" w:rsidR="00987E1A" w:rsidRPr="00742BD0" w:rsidRDefault="00987E1A" w:rsidP="00987E1A">
            <w:pPr>
              <w:spacing w:line="276" w:lineRule="auto"/>
              <w:jc w:val="both"/>
              <w:rPr>
                <w:rFonts w:ascii="Avenir Black Oblique" w:hAnsi="Avenir Black Oblique"/>
                <w:b/>
                <w:bCs/>
                <w:i/>
                <w:iCs/>
                <w:color w:val="FFFFFF" w:themeColor="background1"/>
              </w:rPr>
            </w:pPr>
            <w:r w:rsidRPr="00742BD0">
              <w:rPr>
                <w:rFonts w:ascii="Avenir Black Oblique" w:hAnsi="Avenir Black Oblique"/>
                <w:b/>
                <w:bCs/>
                <w:i/>
                <w:iCs/>
                <w:color w:val="FFFFFF" w:themeColor="background1"/>
              </w:rPr>
              <w:t>Non-Independent</w:t>
            </w:r>
          </w:p>
        </w:tc>
      </w:tr>
      <w:tr w:rsidR="00987E1A" w14:paraId="76C1DFE8" w14:textId="77777777" w:rsidTr="00742BD0">
        <w:tc>
          <w:tcPr>
            <w:tcW w:w="2875" w:type="dxa"/>
            <w:vMerge/>
            <w:shd w:val="clear" w:color="auto" w:fill="91211B"/>
          </w:tcPr>
          <w:p w14:paraId="1B96395B" w14:textId="77777777" w:rsidR="00987E1A" w:rsidRDefault="00987E1A" w:rsidP="00987E1A">
            <w:pPr>
              <w:spacing w:line="276" w:lineRule="auto"/>
              <w:jc w:val="center"/>
              <w:rPr>
                <w:rFonts w:ascii="Avenir Book" w:hAnsi="Avenir Book"/>
                <w:color w:val="000000"/>
              </w:rPr>
            </w:pPr>
          </w:p>
        </w:tc>
        <w:tc>
          <w:tcPr>
            <w:tcW w:w="3780" w:type="dxa"/>
          </w:tcPr>
          <w:p w14:paraId="481D603C" w14:textId="7287183B" w:rsidR="00987E1A" w:rsidRPr="00742BD0" w:rsidRDefault="00742BD0" w:rsidP="00742BD0">
            <w:pPr>
              <w:ind w:firstLine="79"/>
              <w:jc w:val="both"/>
              <w:rPr>
                <w:rFonts w:ascii="Avenir Book" w:hAnsi="Avenir Book"/>
                <w:color w:val="000000"/>
                <w:sz w:val="21"/>
                <w:szCs w:val="21"/>
              </w:rPr>
            </w:pPr>
            <w:r w:rsidRPr="00742BD0">
              <w:rPr>
                <w:rFonts w:ascii="Avenir Book" w:hAnsi="Avenir Book"/>
                <w:color w:val="000000"/>
                <w:sz w:val="21"/>
                <w:szCs w:val="21"/>
              </w:rPr>
              <w:t>Idaho</w:t>
            </w:r>
            <w:r>
              <w:rPr>
                <w:rFonts w:ascii="Avenir Book" w:hAnsi="Avenir Book"/>
                <w:color w:val="000000"/>
                <w:sz w:val="21"/>
                <w:szCs w:val="21"/>
              </w:rPr>
              <w:t xml:space="preserve">                  Ohio</w:t>
            </w:r>
          </w:p>
          <w:p w14:paraId="3829E703" w14:textId="66E062FE" w:rsidR="00742BD0" w:rsidRPr="00742BD0" w:rsidRDefault="00742BD0" w:rsidP="00742BD0">
            <w:pPr>
              <w:ind w:firstLine="79"/>
              <w:jc w:val="both"/>
              <w:rPr>
                <w:rFonts w:ascii="Avenir Book" w:hAnsi="Avenir Book"/>
                <w:color w:val="000000"/>
                <w:sz w:val="21"/>
                <w:szCs w:val="21"/>
              </w:rPr>
            </w:pPr>
            <w:r w:rsidRPr="00742BD0">
              <w:rPr>
                <w:rFonts w:ascii="Avenir Book" w:hAnsi="Avenir Book"/>
                <w:color w:val="000000"/>
                <w:sz w:val="21"/>
                <w:szCs w:val="21"/>
              </w:rPr>
              <w:t>Indiana</w:t>
            </w:r>
            <w:r>
              <w:rPr>
                <w:rFonts w:ascii="Avenir Book" w:hAnsi="Avenir Book"/>
                <w:color w:val="000000"/>
                <w:sz w:val="21"/>
                <w:szCs w:val="21"/>
              </w:rPr>
              <w:t xml:space="preserve">                South Carolina</w:t>
            </w:r>
          </w:p>
          <w:p w14:paraId="4A34CD20" w14:textId="56863ABD" w:rsidR="00742BD0" w:rsidRPr="00742BD0" w:rsidRDefault="00742BD0" w:rsidP="00742BD0">
            <w:pPr>
              <w:ind w:firstLine="79"/>
              <w:jc w:val="both"/>
              <w:rPr>
                <w:rFonts w:ascii="Avenir Book" w:hAnsi="Avenir Book"/>
                <w:color w:val="000000"/>
                <w:sz w:val="21"/>
                <w:szCs w:val="21"/>
              </w:rPr>
            </w:pPr>
            <w:r w:rsidRPr="00742BD0">
              <w:rPr>
                <w:rFonts w:ascii="Avenir Book" w:hAnsi="Avenir Book"/>
                <w:color w:val="000000"/>
                <w:sz w:val="21"/>
                <w:szCs w:val="21"/>
              </w:rPr>
              <w:t>Nebraska</w:t>
            </w:r>
            <w:r>
              <w:rPr>
                <w:rFonts w:ascii="Avenir Book" w:hAnsi="Avenir Book"/>
                <w:color w:val="000000"/>
                <w:sz w:val="21"/>
                <w:szCs w:val="21"/>
              </w:rPr>
              <w:t xml:space="preserve">            Tennessee</w:t>
            </w:r>
          </w:p>
          <w:p w14:paraId="6EBC6853" w14:textId="230A7501" w:rsidR="00742BD0" w:rsidRPr="00742BD0" w:rsidRDefault="00742BD0" w:rsidP="00742BD0">
            <w:pPr>
              <w:ind w:firstLine="79"/>
              <w:jc w:val="both"/>
              <w:rPr>
                <w:rFonts w:ascii="Avenir Book" w:hAnsi="Avenir Book"/>
                <w:color w:val="000000"/>
                <w:sz w:val="21"/>
                <w:szCs w:val="21"/>
              </w:rPr>
            </w:pPr>
            <w:r w:rsidRPr="00742BD0">
              <w:rPr>
                <w:rFonts w:ascii="Avenir Book" w:hAnsi="Avenir Book"/>
                <w:color w:val="000000"/>
                <w:sz w:val="21"/>
                <w:szCs w:val="21"/>
              </w:rPr>
              <w:t>New York</w:t>
            </w:r>
            <w:r>
              <w:rPr>
                <w:rFonts w:ascii="Avenir Book" w:hAnsi="Avenir Book"/>
                <w:color w:val="000000"/>
                <w:sz w:val="21"/>
                <w:szCs w:val="21"/>
              </w:rPr>
              <w:t xml:space="preserve">            Texas</w:t>
            </w:r>
          </w:p>
          <w:p w14:paraId="6D2312CD" w14:textId="50435BE6" w:rsidR="00742BD0" w:rsidRPr="00742BD0" w:rsidRDefault="00742BD0" w:rsidP="00742BD0">
            <w:pPr>
              <w:ind w:firstLine="79"/>
              <w:jc w:val="both"/>
              <w:rPr>
                <w:rFonts w:ascii="Avenir Book" w:hAnsi="Avenir Book"/>
                <w:color w:val="000000"/>
                <w:sz w:val="21"/>
                <w:szCs w:val="21"/>
              </w:rPr>
            </w:pPr>
            <w:r w:rsidRPr="00742BD0">
              <w:rPr>
                <w:rFonts w:ascii="Avenir Book" w:hAnsi="Avenir Book"/>
                <w:color w:val="000000"/>
                <w:sz w:val="21"/>
                <w:szCs w:val="21"/>
              </w:rPr>
              <w:t>North Carolina</w:t>
            </w:r>
          </w:p>
        </w:tc>
        <w:tc>
          <w:tcPr>
            <w:tcW w:w="2695" w:type="dxa"/>
          </w:tcPr>
          <w:p w14:paraId="04A9B2DF" w14:textId="77777777" w:rsidR="00987E1A" w:rsidRDefault="00742BD0" w:rsidP="00742BD0">
            <w:pPr>
              <w:jc w:val="center"/>
              <w:rPr>
                <w:rFonts w:ascii="Avenir Book" w:hAnsi="Avenir Book"/>
                <w:color w:val="000000"/>
                <w:sz w:val="21"/>
                <w:szCs w:val="21"/>
              </w:rPr>
            </w:pPr>
            <w:r>
              <w:rPr>
                <w:rFonts w:ascii="Avenir Book" w:hAnsi="Avenir Book"/>
                <w:color w:val="000000"/>
                <w:sz w:val="21"/>
                <w:szCs w:val="21"/>
              </w:rPr>
              <w:t>Georgia</w:t>
            </w:r>
          </w:p>
          <w:p w14:paraId="28E89327" w14:textId="77777777" w:rsidR="00742BD0" w:rsidRDefault="00742BD0" w:rsidP="00742BD0">
            <w:pPr>
              <w:jc w:val="center"/>
              <w:rPr>
                <w:rFonts w:ascii="Avenir Book" w:hAnsi="Avenir Book"/>
                <w:color w:val="000000"/>
                <w:sz w:val="21"/>
                <w:szCs w:val="21"/>
              </w:rPr>
            </w:pPr>
            <w:r>
              <w:rPr>
                <w:rFonts w:ascii="Avenir Book" w:hAnsi="Avenir Book"/>
                <w:color w:val="000000"/>
                <w:sz w:val="21"/>
                <w:szCs w:val="21"/>
              </w:rPr>
              <w:t>Illinois</w:t>
            </w:r>
          </w:p>
          <w:p w14:paraId="637E25DA" w14:textId="77777777" w:rsidR="00742BD0" w:rsidRDefault="00742BD0" w:rsidP="00742BD0">
            <w:pPr>
              <w:jc w:val="center"/>
              <w:rPr>
                <w:rFonts w:ascii="Avenir Book" w:hAnsi="Avenir Book"/>
                <w:color w:val="000000"/>
                <w:sz w:val="21"/>
                <w:szCs w:val="21"/>
              </w:rPr>
            </w:pPr>
            <w:r>
              <w:rPr>
                <w:rFonts w:ascii="Avenir Book" w:hAnsi="Avenir Book"/>
                <w:color w:val="000000"/>
                <w:sz w:val="21"/>
                <w:szCs w:val="21"/>
              </w:rPr>
              <w:t>Kansas</w:t>
            </w:r>
          </w:p>
          <w:p w14:paraId="75952BE5" w14:textId="24F0CDD9" w:rsidR="00742BD0" w:rsidRPr="00742BD0" w:rsidRDefault="00742BD0" w:rsidP="00742BD0">
            <w:pPr>
              <w:jc w:val="center"/>
              <w:rPr>
                <w:rFonts w:ascii="Avenir Book" w:hAnsi="Avenir Book"/>
                <w:color w:val="000000"/>
                <w:sz w:val="21"/>
                <w:szCs w:val="21"/>
              </w:rPr>
            </w:pPr>
            <w:r>
              <w:rPr>
                <w:rFonts w:ascii="Avenir Book" w:hAnsi="Avenir Book"/>
                <w:color w:val="000000"/>
                <w:sz w:val="21"/>
                <w:szCs w:val="21"/>
              </w:rPr>
              <w:t>Oklahoma</w:t>
            </w:r>
          </w:p>
        </w:tc>
      </w:tr>
      <w:tr w:rsidR="00987E1A" w14:paraId="12DBD913" w14:textId="77777777" w:rsidTr="00742BD0">
        <w:trPr>
          <w:trHeight w:val="994"/>
        </w:trPr>
        <w:tc>
          <w:tcPr>
            <w:tcW w:w="2875" w:type="dxa"/>
            <w:shd w:val="clear" w:color="auto" w:fill="91211B"/>
          </w:tcPr>
          <w:p w14:paraId="32E1EFEA" w14:textId="77777777" w:rsidR="00742BD0" w:rsidRDefault="00742BD0" w:rsidP="00987E1A">
            <w:pPr>
              <w:spacing w:line="276" w:lineRule="auto"/>
              <w:jc w:val="center"/>
              <w:rPr>
                <w:rFonts w:ascii="Avenir Black Oblique" w:hAnsi="Avenir Black Oblique"/>
                <w:b/>
                <w:bCs/>
                <w:i/>
                <w:iCs/>
                <w:color w:val="000000"/>
              </w:rPr>
            </w:pPr>
          </w:p>
          <w:p w14:paraId="3A1FE129" w14:textId="3DCE6ABF" w:rsidR="00987E1A" w:rsidRPr="00742BD0" w:rsidRDefault="00987E1A" w:rsidP="00987E1A">
            <w:pPr>
              <w:spacing w:line="276" w:lineRule="auto"/>
              <w:jc w:val="center"/>
              <w:rPr>
                <w:rFonts w:ascii="Avenir Black Oblique" w:hAnsi="Avenir Black Oblique"/>
                <w:b/>
                <w:bCs/>
                <w:i/>
                <w:iCs/>
                <w:color w:val="FFFFFF" w:themeColor="background1"/>
              </w:rPr>
            </w:pPr>
            <w:r w:rsidRPr="00742BD0">
              <w:rPr>
                <w:rFonts w:ascii="Avenir Black Oblique" w:hAnsi="Avenir Black Oblique"/>
                <w:b/>
                <w:bCs/>
                <w:i/>
                <w:iCs/>
                <w:color w:val="FFFFFF" w:themeColor="background1"/>
              </w:rPr>
              <w:t>No Commission</w:t>
            </w:r>
          </w:p>
          <w:p w14:paraId="3A39109A" w14:textId="77777777" w:rsidR="00987E1A" w:rsidRPr="00CE6AEB" w:rsidRDefault="00987E1A" w:rsidP="00742BD0">
            <w:pPr>
              <w:spacing w:line="276" w:lineRule="auto"/>
              <w:jc w:val="center"/>
              <w:rPr>
                <w:rFonts w:ascii="Avenir Heavy" w:hAnsi="Avenir Heavy"/>
                <w:b/>
                <w:bCs/>
                <w:color w:val="F2F2F2" w:themeColor="background1" w:themeShade="F2"/>
                <w:sz w:val="22"/>
                <w:szCs w:val="22"/>
              </w:rPr>
            </w:pPr>
            <w:r w:rsidRPr="00CE6AEB">
              <w:rPr>
                <w:rFonts w:ascii="Avenir Heavy" w:hAnsi="Avenir Heavy"/>
                <w:b/>
                <w:bCs/>
                <w:color w:val="F2F2F2" w:themeColor="background1" w:themeShade="F2"/>
                <w:sz w:val="22"/>
                <w:szCs w:val="22"/>
              </w:rPr>
              <w:t>16 States</w:t>
            </w:r>
          </w:p>
          <w:p w14:paraId="06B7C0E5" w14:textId="5BFAD559" w:rsidR="00742BD0" w:rsidRPr="00742BD0" w:rsidRDefault="00742BD0" w:rsidP="00742BD0">
            <w:pPr>
              <w:spacing w:line="276" w:lineRule="auto"/>
              <w:jc w:val="center"/>
              <w:rPr>
                <w:rFonts w:ascii="Avenir Black" w:hAnsi="Avenir Black"/>
                <w:b/>
                <w:bCs/>
                <w:color w:val="91211B"/>
              </w:rPr>
            </w:pPr>
            <w:r w:rsidRPr="00CE6AEB">
              <w:rPr>
                <w:rFonts w:ascii="Avenir Heavy" w:hAnsi="Avenir Heavy"/>
                <w:b/>
                <w:bCs/>
                <w:color w:val="F2F2F2" w:themeColor="background1" w:themeShade="F2"/>
                <w:sz w:val="22"/>
                <w:szCs w:val="22"/>
              </w:rPr>
              <w:t>32%</w:t>
            </w:r>
          </w:p>
        </w:tc>
        <w:tc>
          <w:tcPr>
            <w:tcW w:w="3780" w:type="dxa"/>
          </w:tcPr>
          <w:p w14:paraId="1C456AFF" w14:textId="7FAAD713" w:rsidR="00987E1A" w:rsidRDefault="00742BD0" w:rsidP="00742BD0">
            <w:pPr>
              <w:ind w:firstLine="79"/>
              <w:jc w:val="both"/>
              <w:rPr>
                <w:rFonts w:ascii="Avenir Book" w:hAnsi="Avenir Book"/>
                <w:color w:val="000000"/>
                <w:sz w:val="21"/>
                <w:szCs w:val="21"/>
              </w:rPr>
            </w:pPr>
            <w:r w:rsidRPr="00742BD0">
              <w:rPr>
                <w:rFonts w:ascii="Avenir Book" w:hAnsi="Avenir Book"/>
                <w:color w:val="000000"/>
                <w:sz w:val="21"/>
                <w:szCs w:val="21"/>
              </w:rPr>
              <w:t xml:space="preserve">Alabama            </w:t>
            </w:r>
            <w:r w:rsidR="00CE6AEB">
              <w:rPr>
                <w:rFonts w:ascii="Avenir Book" w:hAnsi="Avenir Book"/>
                <w:color w:val="000000"/>
                <w:sz w:val="21"/>
                <w:szCs w:val="21"/>
              </w:rPr>
              <w:t xml:space="preserve"> </w:t>
            </w:r>
            <w:r w:rsidRPr="00742BD0">
              <w:rPr>
                <w:rFonts w:ascii="Avenir Book" w:hAnsi="Avenir Book"/>
                <w:color w:val="000000"/>
                <w:sz w:val="21"/>
                <w:szCs w:val="21"/>
              </w:rPr>
              <w:t xml:space="preserve"> Florida</w:t>
            </w:r>
          </w:p>
          <w:p w14:paraId="3A9D91DC" w14:textId="7ABA8488" w:rsidR="00742BD0" w:rsidRDefault="00CE6AEB" w:rsidP="00742BD0">
            <w:pPr>
              <w:ind w:firstLine="79"/>
              <w:jc w:val="both"/>
              <w:rPr>
                <w:rFonts w:ascii="Avenir Book" w:hAnsi="Avenir Book"/>
                <w:color w:val="000000"/>
                <w:sz w:val="21"/>
                <w:szCs w:val="21"/>
              </w:rPr>
            </w:pPr>
            <w:r>
              <w:rPr>
                <w:rFonts w:ascii="Avenir Book" w:hAnsi="Avenir Book"/>
                <w:color w:val="000000"/>
                <w:sz w:val="21"/>
                <w:szCs w:val="21"/>
              </w:rPr>
              <w:t>Alaska                  Iowa</w:t>
            </w:r>
          </w:p>
          <w:p w14:paraId="0190F9C8" w14:textId="22F6CE94" w:rsidR="00CE6AEB" w:rsidRDefault="00CE6AEB" w:rsidP="00742BD0">
            <w:pPr>
              <w:ind w:firstLine="79"/>
              <w:jc w:val="both"/>
              <w:rPr>
                <w:rFonts w:ascii="Avenir Book" w:hAnsi="Avenir Book"/>
                <w:color w:val="000000"/>
                <w:sz w:val="21"/>
                <w:szCs w:val="21"/>
              </w:rPr>
            </w:pPr>
            <w:r>
              <w:rPr>
                <w:rFonts w:ascii="Avenir Book" w:hAnsi="Avenir Book"/>
                <w:color w:val="000000"/>
                <w:sz w:val="21"/>
                <w:szCs w:val="21"/>
              </w:rPr>
              <w:t>Arizona                Mississippi</w:t>
            </w:r>
          </w:p>
          <w:p w14:paraId="7CF8DBC8" w14:textId="2B7D9442" w:rsidR="00CE6AEB" w:rsidRDefault="00CE6AEB" w:rsidP="00742BD0">
            <w:pPr>
              <w:ind w:firstLine="79"/>
              <w:jc w:val="both"/>
              <w:rPr>
                <w:rFonts w:ascii="Avenir Book" w:hAnsi="Avenir Book"/>
                <w:color w:val="000000"/>
                <w:sz w:val="21"/>
                <w:szCs w:val="21"/>
              </w:rPr>
            </w:pPr>
            <w:r>
              <w:rPr>
                <w:rFonts w:ascii="Avenir Book" w:hAnsi="Avenir Book"/>
                <w:color w:val="000000"/>
                <w:sz w:val="21"/>
                <w:szCs w:val="21"/>
              </w:rPr>
              <w:t>California             Nevada</w:t>
            </w:r>
          </w:p>
          <w:p w14:paraId="526FBD2C" w14:textId="4726804B" w:rsidR="00CE6AEB" w:rsidRPr="00742BD0" w:rsidRDefault="00CE6AEB" w:rsidP="00742BD0">
            <w:pPr>
              <w:ind w:firstLine="79"/>
              <w:jc w:val="both"/>
              <w:rPr>
                <w:rFonts w:ascii="Avenir Book" w:hAnsi="Avenir Book"/>
                <w:color w:val="000000"/>
                <w:sz w:val="21"/>
                <w:szCs w:val="21"/>
              </w:rPr>
            </w:pPr>
            <w:r>
              <w:rPr>
                <w:rFonts w:ascii="Avenir Book" w:hAnsi="Avenir Book"/>
                <w:color w:val="000000"/>
                <w:sz w:val="21"/>
                <w:szCs w:val="21"/>
              </w:rPr>
              <w:t>Delaware             New Jersey</w:t>
            </w:r>
          </w:p>
        </w:tc>
        <w:tc>
          <w:tcPr>
            <w:tcW w:w="2695" w:type="dxa"/>
          </w:tcPr>
          <w:p w14:paraId="6A74F718" w14:textId="20BDA546" w:rsidR="00987E1A" w:rsidRDefault="00742BD0" w:rsidP="00742BD0">
            <w:pPr>
              <w:jc w:val="center"/>
              <w:rPr>
                <w:rFonts w:ascii="Avenir Book" w:hAnsi="Avenir Book"/>
                <w:color w:val="000000"/>
                <w:sz w:val="21"/>
                <w:szCs w:val="21"/>
              </w:rPr>
            </w:pPr>
            <w:r w:rsidRPr="00742BD0">
              <w:rPr>
                <w:rFonts w:ascii="Avenir Book" w:hAnsi="Avenir Book"/>
                <w:color w:val="000000"/>
                <w:sz w:val="21"/>
                <w:szCs w:val="21"/>
              </w:rPr>
              <w:t>Pennsylvania</w:t>
            </w:r>
          </w:p>
          <w:p w14:paraId="267A29ED" w14:textId="16D1A46F" w:rsidR="00742BD0" w:rsidRDefault="00742BD0" w:rsidP="00742BD0">
            <w:pPr>
              <w:jc w:val="center"/>
              <w:rPr>
                <w:rFonts w:ascii="Avenir Book" w:hAnsi="Avenir Book"/>
                <w:color w:val="000000"/>
                <w:sz w:val="21"/>
                <w:szCs w:val="21"/>
              </w:rPr>
            </w:pPr>
            <w:r>
              <w:rPr>
                <w:rFonts w:ascii="Avenir Book" w:hAnsi="Avenir Book"/>
                <w:color w:val="000000"/>
                <w:sz w:val="21"/>
                <w:szCs w:val="21"/>
              </w:rPr>
              <w:t>Rhode Island</w:t>
            </w:r>
          </w:p>
          <w:p w14:paraId="039DF44B" w14:textId="70BBA6D0" w:rsidR="00742BD0" w:rsidRDefault="00742BD0" w:rsidP="00742BD0">
            <w:pPr>
              <w:jc w:val="center"/>
              <w:rPr>
                <w:rFonts w:ascii="Avenir Book" w:hAnsi="Avenir Book"/>
                <w:color w:val="000000"/>
                <w:sz w:val="21"/>
                <w:szCs w:val="21"/>
              </w:rPr>
            </w:pPr>
            <w:r>
              <w:rPr>
                <w:rFonts w:ascii="Avenir Book" w:hAnsi="Avenir Book"/>
                <w:color w:val="000000"/>
                <w:sz w:val="21"/>
                <w:szCs w:val="21"/>
              </w:rPr>
              <w:t>South Dakota</w:t>
            </w:r>
          </w:p>
          <w:p w14:paraId="69FB7BDC" w14:textId="61BCC514" w:rsidR="00742BD0" w:rsidRDefault="00742BD0" w:rsidP="00742BD0">
            <w:pPr>
              <w:jc w:val="center"/>
              <w:rPr>
                <w:rFonts w:ascii="Avenir Book" w:hAnsi="Avenir Book"/>
                <w:color w:val="000000"/>
                <w:sz w:val="21"/>
                <w:szCs w:val="21"/>
              </w:rPr>
            </w:pPr>
            <w:r>
              <w:rPr>
                <w:rFonts w:ascii="Avenir Book" w:hAnsi="Avenir Book"/>
                <w:color w:val="000000"/>
                <w:sz w:val="21"/>
                <w:szCs w:val="21"/>
              </w:rPr>
              <w:t>Vermont</w:t>
            </w:r>
          </w:p>
          <w:p w14:paraId="21E17978" w14:textId="2F50F225" w:rsidR="00742BD0" w:rsidRDefault="00742BD0" w:rsidP="00742BD0">
            <w:pPr>
              <w:jc w:val="center"/>
              <w:rPr>
                <w:rFonts w:ascii="Avenir Book" w:hAnsi="Avenir Book"/>
                <w:color w:val="000000"/>
                <w:sz w:val="21"/>
                <w:szCs w:val="21"/>
              </w:rPr>
            </w:pPr>
            <w:r>
              <w:rPr>
                <w:rFonts w:ascii="Avenir Book" w:hAnsi="Avenir Book"/>
                <w:color w:val="000000"/>
                <w:sz w:val="21"/>
                <w:szCs w:val="21"/>
              </w:rPr>
              <w:t>Washington</w:t>
            </w:r>
          </w:p>
          <w:p w14:paraId="23B932BA" w14:textId="2D3E2F1F" w:rsidR="00742BD0" w:rsidRPr="00742BD0" w:rsidRDefault="00742BD0" w:rsidP="00742BD0">
            <w:pPr>
              <w:jc w:val="center"/>
              <w:rPr>
                <w:rFonts w:ascii="Avenir Book" w:hAnsi="Avenir Book"/>
                <w:color w:val="000000"/>
                <w:sz w:val="21"/>
                <w:szCs w:val="21"/>
              </w:rPr>
            </w:pPr>
            <w:r>
              <w:rPr>
                <w:rFonts w:ascii="Avenir Book" w:hAnsi="Avenir Book"/>
                <w:color w:val="000000"/>
                <w:sz w:val="21"/>
                <w:szCs w:val="21"/>
              </w:rPr>
              <w:t>Wyoming</w:t>
            </w:r>
          </w:p>
        </w:tc>
      </w:tr>
    </w:tbl>
    <w:p w14:paraId="7EC5289C" w14:textId="2B148986" w:rsidR="0070315C" w:rsidRDefault="0070315C" w:rsidP="00CE6AEB">
      <w:pPr>
        <w:spacing w:line="480" w:lineRule="auto"/>
        <w:rPr>
          <w:color w:val="000000"/>
        </w:rPr>
      </w:pPr>
    </w:p>
    <w:p w14:paraId="6CB3F4A3" w14:textId="090126D9" w:rsidR="0070315C" w:rsidRDefault="000E2E79" w:rsidP="0070315C">
      <w:pPr>
        <w:spacing w:line="480" w:lineRule="auto"/>
        <w:jc w:val="both"/>
        <w:rPr>
          <w:color w:val="000000"/>
        </w:rPr>
      </w:pPr>
      <w:r>
        <w:rPr>
          <w:noProof/>
          <w:sz w:val="10"/>
          <w:szCs w:val="10"/>
        </w:rPr>
        <w:pict w14:anchorId="15A82DC6">
          <v:rect id="_x0000_i1037" alt="" style="width:468pt;height:.05pt;mso-width-percent:0;mso-height-percent:0;mso-width-percent:0;mso-height-percent:0" o:hralign="center" o:hrstd="t" o:hr="t" fillcolor="#a0a0a0" stroked="f"/>
        </w:pict>
      </w:r>
    </w:p>
    <w:p w14:paraId="47CBC90D" w14:textId="029B7A41" w:rsidR="00A64C46" w:rsidRDefault="00AE54F4" w:rsidP="00533702">
      <w:pPr>
        <w:pStyle w:val="head4"/>
      </w:pPr>
      <w:bookmarkStart w:id="22" w:name="_Toc62730377"/>
      <w:r>
        <w:t>Structuring an</w:t>
      </w:r>
      <w:r w:rsidR="00FB7A1E">
        <w:t xml:space="preserve"> Independen</w:t>
      </w:r>
      <w:r w:rsidR="00850C97">
        <w:t>t</w:t>
      </w:r>
      <w:r w:rsidR="00FB7A1E">
        <w:t xml:space="preserve"> Oversight Board</w:t>
      </w:r>
      <w:bookmarkEnd w:id="22"/>
    </w:p>
    <w:p w14:paraId="26C73E02" w14:textId="521B220C" w:rsidR="00AE54F4" w:rsidRPr="00F85AC7" w:rsidRDefault="00AE54F4" w:rsidP="00F85AC7">
      <w:pPr>
        <w:spacing w:line="360" w:lineRule="auto"/>
        <w:ind w:firstLine="720"/>
        <w:jc w:val="both"/>
        <w:rPr>
          <w:rFonts w:ascii="Avenir Book" w:hAnsi="Avenir Book"/>
          <w:color w:val="000000"/>
        </w:rPr>
      </w:pPr>
      <w:r w:rsidRPr="00F85AC7">
        <w:rPr>
          <w:rFonts w:ascii="Avenir Book" w:hAnsi="Avenir Book"/>
          <w:color w:val="000000"/>
        </w:rPr>
        <w:t>The NAPD recommends that an Oversight Board be structured in such a way that its existence will “authentically advance independence.”</w:t>
      </w:r>
      <w:r w:rsidRPr="00F85AC7">
        <w:rPr>
          <w:rFonts w:ascii="Avenir Book" w:hAnsi="Avenir Book"/>
          <w:color w:val="000000"/>
          <w:vertAlign w:val="superscript"/>
        </w:rPr>
        <w:endnoteReference w:id="130"/>
      </w:r>
      <w:r w:rsidRPr="00F85AC7">
        <w:rPr>
          <w:rFonts w:ascii="Avenir Book" w:hAnsi="Avenir Book"/>
          <w:color w:val="000000"/>
        </w:rPr>
        <w:t xml:space="preserve"> </w:t>
      </w:r>
      <w:r w:rsidR="00C647ED">
        <w:rPr>
          <w:rFonts w:ascii="Avenir Book" w:hAnsi="Avenir Book"/>
          <w:color w:val="000000"/>
        </w:rPr>
        <w:t>It</w:t>
      </w:r>
      <w:r w:rsidRPr="00F85AC7">
        <w:rPr>
          <w:rFonts w:ascii="Avenir Book" w:hAnsi="Avenir Book"/>
          <w:color w:val="000000"/>
        </w:rPr>
        <w:t xml:space="preserve"> </w:t>
      </w:r>
      <w:r w:rsidR="00C647ED">
        <w:rPr>
          <w:rFonts w:ascii="Avenir Book" w:hAnsi="Avenir Book"/>
          <w:color w:val="000000"/>
        </w:rPr>
        <w:t xml:space="preserve">therefore </w:t>
      </w:r>
      <w:r w:rsidRPr="00F85AC7">
        <w:rPr>
          <w:rFonts w:ascii="Avenir Book" w:hAnsi="Avenir Book"/>
          <w:color w:val="000000"/>
        </w:rPr>
        <w:t xml:space="preserve">recommends that </w:t>
      </w:r>
      <w:r w:rsidRPr="00F85AC7">
        <w:rPr>
          <w:rFonts w:ascii="Avenir Book" w:hAnsi="Avenir Book"/>
          <w:color w:val="000000"/>
        </w:rPr>
        <w:lastRenderedPageBreak/>
        <w:t xml:space="preserve">an Oversight Board: be nonpartisan; primarily </w:t>
      </w:r>
      <w:r w:rsidRPr="00F85AC7">
        <w:rPr>
          <w:rFonts w:ascii="Avenir Book" w:hAnsi="Avenir Book"/>
        </w:rPr>
        <w:t>“</w:t>
      </w:r>
      <w:r w:rsidRPr="00F85AC7">
        <w:rPr>
          <w:rFonts w:ascii="Avenir Book" w:hAnsi="Avenir Book"/>
          <w:color w:val="000000"/>
        </w:rPr>
        <w:t>function to support and protect the independence</w:t>
      </w:r>
      <w:r w:rsidRPr="00F85AC7">
        <w:rPr>
          <w:rFonts w:ascii="Avenir Book" w:hAnsi="Avenir Book"/>
        </w:rPr>
        <w:t>”</w:t>
      </w:r>
      <w:r w:rsidRPr="00F85AC7">
        <w:rPr>
          <w:rFonts w:ascii="Avenir Book" w:hAnsi="Avenir Book"/>
          <w:color w:val="000000"/>
        </w:rPr>
        <w:t xml:space="preserve"> of indigent defense services; be empowered to </w:t>
      </w:r>
      <w:r w:rsidRPr="00F85AC7">
        <w:rPr>
          <w:rFonts w:ascii="Avenir Book" w:hAnsi="Avenir Book"/>
        </w:rPr>
        <w:t>“</w:t>
      </w:r>
      <w:r w:rsidRPr="00F85AC7">
        <w:rPr>
          <w:rFonts w:ascii="Avenir Book" w:hAnsi="Avenir Book"/>
          <w:color w:val="000000"/>
        </w:rPr>
        <w:t>establish general polic</w:t>
      </w:r>
      <w:r w:rsidRPr="00F85AC7">
        <w:rPr>
          <w:rFonts w:ascii="Avenir Book" w:hAnsi="Avenir Book"/>
        </w:rPr>
        <w:t>y</w:t>
      </w:r>
      <w:r w:rsidRPr="00F85AC7">
        <w:rPr>
          <w:rFonts w:ascii="Avenir Book" w:hAnsi="Avenir Book"/>
          <w:color w:val="000000"/>
        </w:rPr>
        <w:t xml:space="preserve"> for the operation</w:t>
      </w:r>
      <w:r w:rsidRPr="00F85AC7">
        <w:rPr>
          <w:rFonts w:ascii="Avenir Book" w:hAnsi="Avenir Book"/>
        </w:rPr>
        <w:t>”</w:t>
      </w:r>
      <w:r w:rsidRPr="00F85AC7">
        <w:rPr>
          <w:rFonts w:ascii="Avenir Book" w:hAnsi="Avenir Book"/>
          <w:color w:val="000000"/>
        </w:rPr>
        <w:t xml:space="preserve"> of indigent defense services; </w:t>
      </w:r>
      <w:r w:rsidRPr="00F85AC7">
        <w:rPr>
          <w:rFonts w:ascii="Avenir Book" w:hAnsi="Avenir Book"/>
        </w:rPr>
        <w:t>“</w:t>
      </w:r>
      <w:r w:rsidRPr="00F85AC7">
        <w:rPr>
          <w:rFonts w:ascii="Avenir Book" w:hAnsi="Avenir Book"/>
          <w:color w:val="000000"/>
        </w:rPr>
        <w:t>be precluded from interfering</w:t>
      </w:r>
      <w:r w:rsidRPr="00F85AC7">
        <w:rPr>
          <w:rFonts w:ascii="Avenir Book" w:hAnsi="Avenir Book"/>
        </w:rPr>
        <w:t>”</w:t>
      </w:r>
      <w:r w:rsidRPr="00F85AC7">
        <w:rPr>
          <w:rFonts w:ascii="Avenir Book" w:hAnsi="Avenir Book"/>
          <w:color w:val="000000"/>
        </w:rPr>
        <w:t xml:space="preserve"> in the individual representation of clients; and have the </w:t>
      </w:r>
      <w:r w:rsidR="00A1454A" w:rsidRPr="00F85AC7">
        <w:rPr>
          <w:rFonts w:ascii="Avenir Book" w:hAnsi="Avenir Book"/>
          <w:color w:val="000000"/>
        </w:rPr>
        <w:t>a</w:t>
      </w:r>
      <w:r w:rsidRPr="00F85AC7">
        <w:rPr>
          <w:rFonts w:ascii="Avenir Book" w:hAnsi="Avenir Book"/>
          <w:color w:val="000000"/>
        </w:rPr>
        <w:t xml:space="preserve">uthority to </w:t>
      </w:r>
      <w:r w:rsidRPr="00F85AC7">
        <w:rPr>
          <w:rFonts w:ascii="Avenir Book" w:hAnsi="Avenir Book"/>
        </w:rPr>
        <w:t>“</w:t>
      </w:r>
      <w:r w:rsidRPr="00F85AC7">
        <w:rPr>
          <w:rFonts w:ascii="Avenir Book" w:hAnsi="Avenir Book"/>
          <w:color w:val="000000"/>
        </w:rPr>
        <w:t>appoint a chief defender</w:t>
      </w:r>
      <w:r w:rsidRPr="00F85AC7">
        <w:rPr>
          <w:rFonts w:ascii="Avenir Book" w:hAnsi="Avenir Book"/>
        </w:rPr>
        <w:t>”</w:t>
      </w:r>
      <w:r w:rsidRPr="00F85AC7">
        <w:rPr>
          <w:rFonts w:ascii="Avenir Book" w:hAnsi="Avenir Book"/>
          <w:color w:val="000000"/>
        </w:rPr>
        <w:t xml:space="preserve"> to serve a renewable term of years </w:t>
      </w:r>
      <w:r w:rsidR="00C647ED">
        <w:rPr>
          <w:rFonts w:ascii="Avenir Book" w:hAnsi="Avenir Book"/>
          <w:color w:val="000000"/>
        </w:rPr>
        <w:t>who</w:t>
      </w:r>
      <w:r w:rsidRPr="00F85AC7">
        <w:rPr>
          <w:rFonts w:ascii="Avenir Book" w:hAnsi="Avenir Book"/>
          <w:color w:val="000000"/>
        </w:rPr>
        <w:t xml:space="preserve"> is not </w:t>
      </w:r>
      <w:r w:rsidRPr="00F85AC7">
        <w:rPr>
          <w:rFonts w:ascii="Avenir Book" w:hAnsi="Avenir Book"/>
        </w:rPr>
        <w:t>“</w:t>
      </w:r>
      <w:r w:rsidRPr="00F85AC7">
        <w:rPr>
          <w:rFonts w:ascii="Avenir Book" w:hAnsi="Avenir Book"/>
          <w:color w:val="000000"/>
        </w:rPr>
        <w:t>removable except for cause with process</w:t>
      </w:r>
      <w:sdt>
        <w:sdtPr>
          <w:rPr>
            <w:rFonts w:ascii="Avenir Book" w:hAnsi="Avenir Book"/>
          </w:rPr>
          <w:tag w:val="goog_rdk_136"/>
          <w:id w:val="191347359"/>
        </w:sdtPr>
        <w:sdtEndPr/>
        <w:sdtContent/>
      </w:sdt>
      <w:sdt>
        <w:sdtPr>
          <w:rPr>
            <w:rFonts w:ascii="Avenir Book" w:hAnsi="Avenir Book"/>
          </w:rPr>
          <w:tag w:val="goog_rdk_137"/>
          <w:id w:val="-958100321"/>
        </w:sdtPr>
        <w:sdtEndPr/>
        <w:sdtContent/>
      </w:sdt>
      <w:r w:rsidRPr="00F85AC7">
        <w:rPr>
          <w:rFonts w:ascii="Avenir Book" w:hAnsi="Avenir Book"/>
          <w:color w:val="000000"/>
        </w:rPr>
        <w:t>.</w:t>
      </w:r>
      <w:r w:rsidRPr="00F85AC7">
        <w:rPr>
          <w:rFonts w:ascii="Avenir Book" w:hAnsi="Avenir Book"/>
        </w:rPr>
        <w:t>”</w:t>
      </w:r>
      <w:r w:rsidRPr="00F85AC7">
        <w:rPr>
          <w:rFonts w:ascii="Avenir Book" w:hAnsi="Avenir Book"/>
          <w:color w:val="000000"/>
          <w:vertAlign w:val="superscript"/>
        </w:rPr>
        <w:endnoteReference w:id="131"/>
      </w:r>
      <w:r w:rsidRPr="00F85AC7">
        <w:rPr>
          <w:rFonts w:ascii="Avenir Book" w:hAnsi="Avenir Book"/>
          <w:color w:val="000000"/>
        </w:rPr>
        <w:t xml:space="preserve"> The Constitution Project additionally suggests that an effective Oversight Board include “strong leadership, effective oversight, adequate staff, and the collection of accurate and reliable data.”</w:t>
      </w:r>
      <w:r w:rsidRPr="00F85AC7">
        <w:rPr>
          <w:rFonts w:ascii="Avenir Book" w:hAnsi="Avenir Book"/>
          <w:color w:val="000000"/>
          <w:vertAlign w:val="superscript"/>
        </w:rPr>
        <w:endnoteReference w:id="132"/>
      </w:r>
      <w:r w:rsidRPr="00F85AC7">
        <w:rPr>
          <w:rFonts w:ascii="Avenir Book" w:hAnsi="Avenir Book"/>
          <w:color w:val="000000"/>
        </w:rPr>
        <w:t xml:space="preserve"> All members on the Oversight Board, regardless of any other criteria for membership, should be devoted to improving indigent defense services.</w:t>
      </w:r>
      <w:r w:rsidRPr="00F85AC7">
        <w:rPr>
          <w:rFonts w:ascii="Avenir Book" w:hAnsi="Avenir Book"/>
          <w:color w:val="000000"/>
          <w:vertAlign w:val="superscript"/>
        </w:rPr>
        <w:endnoteReference w:id="133"/>
      </w:r>
      <w:r w:rsidRPr="00F85AC7">
        <w:rPr>
          <w:rFonts w:ascii="Avenir Book" w:hAnsi="Avenir Book"/>
          <w:color w:val="000000"/>
        </w:rPr>
        <w:t xml:space="preserve"> </w:t>
      </w:r>
    </w:p>
    <w:p w14:paraId="44A28AD9" w14:textId="2E650BB5" w:rsidR="000F6C1C" w:rsidRPr="00F85AC7" w:rsidRDefault="00554888" w:rsidP="00F85AC7">
      <w:pPr>
        <w:spacing w:line="360" w:lineRule="auto"/>
        <w:ind w:firstLine="720"/>
        <w:jc w:val="both"/>
        <w:rPr>
          <w:rFonts w:ascii="Avenir Book" w:hAnsi="Avenir Book"/>
          <w:color w:val="000000"/>
        </w:rPr>
      </w:pPr>
      <w:r w:rsidRPr="00F85AC7">
        <w:rPr>
          <w:rFonts w:ascii="Avenir Book" w:hAnsi="Avenir Book"/>
          <w:color w:val="000000"/>
        </w:rPr>
        <w:t xml:space="preserve">To function as a fully independent body, </w:t>
      </w:r>
      <w:r w:rsidR="000F6C1C" w:rsidRPr="00F85AC7">
        <w:rPr>
          <w:rFonts w:ascii="Avenir Book" w:hAnsi="Avenir Book"/>
          <w:color w:val="000000"/>
        </w:rPr>
        <w:t xml:space="preserve">the authority to determine the composition of an </w:t>
      </w:r>
      <w:r w:rsidR="00567695" w:rsidRPr="00F85AC7">
        <w:rPr>
          <w:rFonts w:ascii="Avenir Book" w:hAnsi="Avenir Book"/>
          <w:color w:val="000000"/>
        </w:rPr>
        <w:t>Oversight Board</w:t>
      </w:r>
      <w:r w:rsidR="000F6C1C" w:rsidRPr="00F85AC7">
        <w:rPr>
          <w:rFonts w:ascii="Avenir Book" w:hAnsi="Avenir Book"/>
          <w:color w:val="000000"/>
        </w:rPr>
        <w:t xml:space="preserve"> should ideally be shared </w:t>
      </w:r>
      <w:r w:rsidR="00A1454A" w:rsidRPr="00F85AC7">
        <w:rPr>
          <w:rFonts w:ascii="Avenir Book" w:hAnsi="Avenir Book"/>
          <w:color w:val="000000"/>
        </w:rPr>
        <w:t xml:space="preserve">among </w:t>
      </w:r>
      <w:r w:rsidR="000F6C1C" w:rsidRPr="00F85AC7">
        <w:rPr>
          <w:rFonts w:ascii="Avenir Book" w:hAnsi="Avenir Book"/>
          <w:color w:val="000000"/>
        </w:rPr>
        <w:t>al</w:t>
      </w:r>
      <w:r w:rsidR="00A44221" w:rsidRPr="00F85AC7">
        <w:rPr>
          <w:rFonts w:ascii="Avenir Book" w:hAnsi="Avenir Book"/>
          <w:color w:val="000000"/>
        </w:rPr>
        <w:t xml:space="preserve">l three branches of government </w:t>
      </w:r>
      <w:r w:rsidR="000F6C1C" w:rsidRPr="00F85AC7">
        <w:rPr>
          <w:rFonts w:ascii="Avenir Book" w:hAnsi="Avenir Book"/>
          <w:color w:val="000000"/>
        </w:rPr>
        <w:t xml:space="preserve">and </w:t>
      </w:r>
      <w:r w:rsidR="00A44221" w:rsidRPr="00F85AC7">
        <w:rPr>
          <w:rFonts w:ascii="Avenir Book" w:hAnsi="Avenir Book"/>
          <w:color w:val="000000"/>
        </w:rPr>
        <w:t>a diverse set of outside legal stakeholders</w:t>
      </w:r>
      <w:r w:rsidR="000F6C1C" w:rsidRPr="00F85AC7">
        <w:rPr>
          <w:rFonts w:ascii="Avenir Book" w:hAnsi="Avenir Book"/>
          <w:color w:val="000000"/>
        </w:rPr>
        <w:t>.</w:t>
      </w:r>
      <w:r w:rsidR="000F6C1C" w:rsidRPr="00F85AC7">
        <w:rPr>
          <w:rFonts w:ascii="Avenir Book" w:hAnsi="Avenir Book"/>
          <w:color w:val="000000"/>
          <w:vertAlign w:val="superscript"/>
        </w:rPr>
        <w:endnoteReference w:id="134"/>
      </w:r>
      <w:r w:rsidR="000F6C1C" w:rsidRPr="00F85AC7">
        <w:rPr>
          <w:rFonts w:ascii="Avenir Book" w:hAnsi="Avenir Book"/>
          <w:color w:val="000000"/>
        </w:rPr>
        <w:t xml:space="preserve"> This </w:t>
      </w:r>
      <w:r w:rsidR="00A44221" w:rsidRPr="00F85AC7">
        <w:rPr>
          <w:rFonts w:ascii="Avenir Book" w:hAnsi="Avenir Book"/>
          <w:color w:val="000000"/>
        </w:rPr>
        <w:t xml:space="preserve">structure </w:t>
      </w:r>
      <w:r w:rsidR="000F6C1C" w:rsidRPr="00F85AC7">
        <w:rPr>
          <w:rFonts w:ascii="Avenir Book" w:hAnsi="Avenir Book"/>
          <w:color w:val="000000"/>
        </w:rPr>
        <w:t xml:space="preserve">can help create an </w:t>
      </w:r>
      <w:r w:rsidR="00567695" w:rsidRPr="00F85AC7">
        <w:rPr>
          <w:rFonts w:ascii="Avenir Book" w:hAnsi="Avenir Book"/>
          <w:color w:val="000000"/>
        </w:rPr>
        <w:t>Oversight Board</w:t>
      </w:r>
      <w:r w:rsidR="000F6C1C" w:rsidRPr="00F85AC7">
        <w:rPr>
          <w:rFonts w:ascii="Avenir Book" w:hAnsi="Avenir Book"/>
          <w:color w:val="000000"/>
        </w:rPr>
        <w:t xml:space="preserve"> that is “neither beholden to nor apt to do the bidding” of any single entity.</w:t>
      </w:r>
      <w:r w:rsidR="000F6C1C" w:rsidRPr="00F85AC7">
        <w:rPr>
          <w:rFonts w:ascii="Avenir Book" w:hAnsi="Avenir Book"/>
          <w:color w:val="000000"/>
          <w:vertAlign w:val="superscript"/>
        </w:rPr>
        <w:endnoteReference w:id="135"/>
      </w:r>
      <w:r w:rsidR="000F6C1C" w:rsidRPr="00F85AC7">
        <w:rPr>
          <w:rFonts w:ascii="Avenir Book" w:hAnsi="Avenir Book"/>
          <w:color w:val="000000"/>
        </w:rPr>
        <w:t xml:space="preserve"> </w:t>
      </w:r>
    </w:p>
    <w:p w14:paraId="2AB5828C" w14:textId="5E9636E5" w:rsidR="00554888" w:rsidRPr="00F85AC7" w:rsidRDefault="000F6C1C" w:rsidP="00F85AC7">
      <w:pPr>
        <w:spacing w:line="360" w:lineRule="auto"/>
        <w:ind w:firstLine="720"/>
        <w:jc w:val="both"/>
        <w:rPr>
          <w:rFonts w:ascii="Avenir Book" w:hAnsi="Avenir Book"/>
          <w:color w:val="000000"/>
        </w:rPr>
      </w:pPr>
      <w:r w:rsidRPr="00F85AC7">
        <w:rPr>
          <w:rFonts w:ascii="Avenir Book" w:hAnsi="Avenir Book"/>
          <w:color w:val="000000"/>
        </w:rPr>
        <w:t xml:space="preserve">When states have adopted </w:t>
      </w:r>
      <w:r w:rsidR="00567695" w:rsidRPr="00F85AC7">
        <w:rPr>
          <w:rFonts w:ascii="Avenir Book" w:hAnsi="Avenir Book"/>
          <w:color w:val="000000"/>
        </w:rPr>
        <w:t>Oversight Board</w:t>
      </w:r>
      <w:r w:rsidRPr="00F85AC7">
        <w:rPr>
          <w:rFonts w:ascii="Avenir Book" w:hAnsi="Avenir Book"/>
          <w:color w:val="000000"/>
        </w:rPr>
        <w:t xml:space="preserve">s that have failed to </w:t>
      </w:r>
      <w:r w:rsidR="00761D50" w:rsidRPr="00F85AC7">
        <w:rPr>
          <w:rFonts w:ascii="Avenir Book" w:hAnsi="Avenir Book"/>
          <w:color w:val="000000"/>
        </w:rPr>
        <w:t>disperse power</w:t>
      </w:r>
      <w:r w:rsidRPr="00F85AC7">
        <w:rPr>
          <w:rFonts w:ascii="Avenir Book" w:hAnsi="Avenir Book"/>
          <w:color w:val="000000"/>
        </w:rPr>
        <w:t xml:space="preserve">, the independence of the </w:t>
      </w:r>
      <w:r w:rsidR="00A06446" w:rsidRPr="00F85AC7">
        <w:rPr>
          <w:rFonts w:ascii="Avenir Book" w:hAnsi="Avenir Book"/>
          <w:color w:val="000000"/>
        </w:rPr>
        <w:t>Oversight Board</w:t>
      </w:r>
      <w:r w:rsidRPr="00F85AC7">
        <w:rPr>
          <w:rFonts w:ascii="Avenir Book" w:hAnsi="Avenir Book"/>
          <w:color w:val="000000"/>
        </w:rPr>
        <w:t xml:space="preserve"> </w:t>
      </w:r>
      <w:r w:rsidR="00A44221" w:rsidRPr="00F85AC7">
        <w:rPr>
          <w:rFonts w:ascii="Avenir Book" w:hAnsi="Avenir Book"/>
          <w:color w:val="000000"/>
        </w:rPr>
        <w:t>has been</w:t>
      </w:r>
      <w:r w:rsidRPr="00F85AC7">
        <w:rPr>
          <w:rFonts w:ascii="Avenir Book" w:hAnsi="Avenir Book"/>
          <w:color w:val="000000"/>
        </w:rPr>
        <w:t xml:space="preserve"> potentially compromised. In Oregon, for example, “the seven members of the Public Defense Services Commission (PDSC) are all appointed by the Chief Justice, who serves as a nonvoting, ex officio member.”</w:t>
      </w:r>
      <w:r w:rsidRPr="00F85AC7">
        <w:rPr>
          <w:rFonts w:ascii="Avenir Book" w:hAnsi="Avenir Book"/>
          <w:color w:val="000000"/>
          <w:vertAlign w:val="superscript"/>
        </w:rPr>
        <w:endnoteReference w:id="136"/>
      </w:r>
      <w:r w:rsidRPr="00F85AC7">
        <w:rPr>
          <w:rFonts w:ascii="Avenir Book" w:hAnsi="Avenir Book"/>
          <w:color w:val="000000"/>
        </w:rPr>
        <w:t xml:space="preserve"> Within the commission</w:t>
      </w:r>
      <w:r w:rsidR="00A44221" w:rsidRPr="00F85AC7">
        <w:rPr>
          <w:rFonts w:ascii="Avenir Book" w:hAnsi="Avenir Book"/>
          <w:color w:val="000000"/>
        </w:rPr>
        <w:t>,</w:t>
      </w:r>
      <w:r w:rsidRPr="00F85AC7">
        <w:rPr>
          <w:rFonts w:ascii="Avenir Book" w:hAnsi="Avenir Book"/>
          <w:color w:val="000000"/>
        </w:rPr>
        <w:t xml:space="preserve"> the chief justice also chooses who will serve as the chairperson and vice chairperson, as well as how long they will serve for.</w:t>
      </w:r>
      <w:r w:rsidRPr="00F85AC7">
        <w:rPr>
          <w:rFonts w:ascii="Avenir Book" w:hAnsi="Avenir Book"/>
          <w:color w:val="000000"/>
          <w:vertAlign w:val="superscript"/>
        </w:rPr>
        <w:endnoteReference w:id="137"/>
      </w:r>
      <w:r w:rsidRPr="00F85AC7">
        <w:rPr>
          <w:rFonts w:ascii="Avenir Book" w:hAnsi="Avenir Book"/>
          <w:color w:val="000000"/>
        </w:rPr>
        <w:t xml:space="preserve"> While the Office of Public Defense Services </w:t>
      </w:r>
      <w:r w:rsidR="008B5EDA" w:rsidRPr="00F85AC7">
        <w:rPr>
          <w:rFonts w:ascii="Avenir Book" w:hAnsi="Avenir Book"/>
          <w:color w:val="000000"/>
        </w:rPr>
        <w:t>handled</w:t>
      </w:r>
      <w:r w:rsidRPr="00F85AC7">
        <w:rPr>
          <w:rFonts w:ascii="Avenir Book" w:hAnsi="Avenir Book"/>
          <w:color w:val="000000"/>
        </w:rPr>
        <w:t xml:space="preserve"> the day-to-day management of the indigent defense system, the PDSC who appoint</w:t>
      </w:r>
      <w:r w:rsidR="008B5EDA" w:rsidRPr="00F85AC7">
        <w:rPr>
          <w:rFonts w:ascii="Avenir Book" w:hAnsi="Avenir Book"/>
          <w:color w:val="000000"/>
        </w:rPr>
        <w:t>ed</w:t>
      </w:r>
      <w:r w:rsidRPr="00F85AC7">
        <w:rPr>
          <w:rFonts w:ascii="Avenir Book" w:hAnsi="Avenir Book"/>
          <w:color w:val="000000"/>
        </w:rPr>
        <w:t xml:space="preserve"> their executive director.</w:t>
      </w:r>
      <w:r w:rsidRPr="00F85AC7">
        <w:rPr>
          <w:rFonts w:ascii="Avenir Book" w:hAnsi="Avenir Book"/>
          <w:color w:val="000000"/>
          <w:vertAlign w:val="superscript"/>
        </w:rPr>
        <w:endnoteReference w:id="138"/>
      </w:r>
      <w:r w:rsidRPr="00F85AC7">
        <w:rPr>
          <w:rFonts w:ascii="Avenir Book" w:hAnsi="Avenir Book"/>
          <w:color w:val="000000"/>
        </w:rPr>
        <w:t xml:space="preserve"> The Sixth Amendment Center has concluded that this structure  —  of a single appointing body who has ultimate control over the head of the office and the head of the </w:t>
      </w:r>
      <w:r w:rsidR="00567695" w:rsidRPr="00F85AC7">
        <w:rPr>
          <w:rFonts w:ascii="Avenir Book" w:hAnsi="Avenir Book"/>
          <w:color w:val="000000"/>
        </w:rPr>
        <w:t>Oversight Board</w:t>
      </w:r>
      <w:r w:rsidRPr="00F85AC7">
        <w:rPr>
          <w:rFonts w:ascii="Avenir Book" w:hAnsi="Avenir Book"/>
          <w:color w:val="000000"/>
        </w:rPr>
        <w:t xml:space="preserve"> — contributes to a lack of commission independence</w:t>
      </w:r>
      <w:sdt>
        <w:sdtPr>
          <w:rPr>
            <w:rFonts w:ascii="Avenir Book" w:hAnsi="Avenir Book"/>
          </w:rPr>
          <w:tag w:val="goog_rdk_135"/>
          <w:id w:val="10428032"/>
        </w:sdtPr>
        <w:sdtEndPr/>
        <w:sdtContent/>
      </w:sdt>
      <w:r w:rsidRPr="00F85AC7">
        <w:rPr>
          <w:rFonts w:ascii="Avenir Book" w:hAnsi="Avenir Book"/>
          <w:color w:val="000000"/>
        </w:rPr>
        <w:t>.</w:t>
      </w:r>
      <w:r w:rsidR="00FF658A" w:rsidRPr="00F85AC7">
        <w:rPr>
          <w:rStyle w:val="EndnoteReference"/>
          <w:rFonts w:ascii="Avenir Book" w:hAnsi="Avenir Book"/>
          <w:color w:val="000000"/>
        </w:rPr>
        <w:endnoteReference w:id="139"/>
      </w:r>
    </w:p>
    <w:p w14:paraId="105DF4ED" w14:textId="77777777" w:rsidR="00554888" w:rsidRPr="00F85AC7" w:rsidRDefault="00554888" w:rsidP="00F85AC7">
      <w:pPr>
        <w:spacing w:line="360" w:lineRule="auto"/>
        <w:ind w:firstLine="720"/>
        <w:jc w:val="both"/>
        <w:rPr>
          <w:rFonts w:ascii="Avenir Book" w:hAnsi="Avenir Book"/>
          <w:color w:val="000000"/>
        </w:rPr>
      </w:pPr>
      <w:r w:rsidRPr="00F85AC7">
        <w:rPr>
          <w:rFonts w:ascii="Avenir Book" w:hAnsi="Avenir Book"/>
          <w:color w:val="000000"/>
        </w:rPr>
        <w:lastRenderedPageBreak/>
        <w:t xml:space="preserve">Another crucial component of ensuring the independence of an Oversight Board is to create </w:t>
      </w:r>
      <w:r w:rsidR="000F6C1C" w:rsidRPr="00F85AC7">
        <w:rPr>
          <w:rFonts w:ascii="Avenir Book" w:hAnsi="Avenir Book"/>
          <w:color w:val="000000"/>
        </w:rPr>
        <w:t xml:space="preserve">diversity </w:t>
      </w:r>
      <w:r w:rsidRPr="00F85AC7">
        <w:rPr>
          <w:rFonts w:ascii="Avenir Book" w:hAnsi="Avenir Book"/>
          <w:color w:val="000000"/>
        </w:rPr>
        <w:t>within the Board’s composition.</w:t>
      </w:r>
      <w:r w:rsidR="000F6C1C" w:rsidRPr="00F85AC7">
        <w:rPr>
          <w:rFonts w:ascii="Avenir Book" w:hAnsi="Avenir Book"/>
          <w:color w:val="000000"/>
          <w:vertAlign w:val="superscript"/>
        </w:rPr>
        <w:endnoteReference w:id="140"/>
      </w:r>
      <w:r w:rsidR="000F6C1C" w:rsidRPr="00F85AC7">
        <w:rPr>
          <w:rFonts w:ascii="Avenir Book" w:hAnsi="Avenir Book"/>
          <w:color w:val="000000"/>
        </w:rPr>
        <w:t xml:space="preserve"> </w:t>
      </w:r>
      <w:r w:rsidR="00F65031" w:rsidRPr="00F85AC7">
        <w:rPr>
          <w:rFonts w:ascii="Avenir Book" w:hAnsi="Avenir Book"/>
        </w:rPr>
        <w:t>Members of the governing boards should be non-partisan, and should have staggered terms made by multiple appointing authorities.</w:t>
      </w:r>
      <w:r w:rsidR="00F65031" w:rsidRPr="00F85AC7">
        <w:rPr>
          <w:rFonts w:ascii="Avenir Book" w:hAnsi="Avenir Book"/>
          <w:vertAlign w:val="superscript"/>
        </w:rPr>
        <w:endnoteReference w:id="141"/>
      </w:r>
      <w:r w:rsidR="00F65031" w:rsidRPr="00F85AC7">
        <w:rPr>
          <w:rFonts w:ascii="Avenir Book" w:hAnsi="Avenir Book"/>
        </w:rPr>
        <w:t xml:space="preserve"> To achieve full independence, governing boards must not include active prosecutors or judges.</w:t>
      </w:r>
      <w:r w:rsidR="00F65031" w:rsidRPr="00F85AC7">
        <w:rPr>
          <w:rFonts w:ascii="Avenir Book" w:hAnsi="Avenir Book"/>
          <w:vertAlign w:val="superscript"/>
        </w:rPr>
        <w:endnoteReference w:id="142"/>
      </w:r>
      <w:r w:rsidR="00F65031" w:rsidRPr="00F85AC7">
        <w:rPr>
          <w:rFonts w:ascii="Avenir Book" w:hAnsi="Avenir Book"/>
        </w:rPr>
        <w:t xml:space="preserve"> </w:t>
      </w:r>
      <w:r w:rsidR="000F6C1C" w:rsidRPr="00F85AC7">
        <w:rPr>
          <w:rFonts w:ascii="Avenir Book" w:hAnsi="Avenir Book"/>
          <w:color w:val="000000"/>
        </w:rPr>
        <w:t>Membership criteria can include, amongst other things, geographical location, political affiliation, and race or ethnicity of members, or positions may be reserved for non-attorney members, advocates for underrepresented groups, or representatives of special interest groups.</w:t>
      </w:r>
      <w:r w:rsidR="000F6C1C" w:rsidRPr="00F85AC7">
        <w:rPr>
          <w:rFonts w:ascii="Avenir Book" w:hAnsi="Avenir Book"/>
          <w:color w:val="000000"/>
          <w:vertAlign w:val="superscript"/>
        </w:rPr>
        <w:endnoteReference w:id="143"/>
      </w:r>
      <w:r w:rsidR="000F6C1C" w:rsidRPr="00F85AC7">
        <w:rPr>
          <w:rFonts w:ascii="Avenir Book" w:hAnsi="Avenir Book"/>
          <w:color w:val="000000"/>
        </w:rPr>
        <w:t xml:space="preserve"> </w:t>
      </w:r>
    </w:p>
    <w:p w14:paraId="6876F407" w14:textId="42A34CA9" w:rsidR="000F6C1C" w:rsidRPr="00F85AC7" w:rsidRDefault="000F6C1C" w:rsidP="00F85AC7">
      <w:pPr>
        <w:spacing w:line="360" w:lineRule="auto"/>
        <w:ind w:firstLine="720"/>
        <w:jc w:val="both"/>
        <w:rPr>
          <w:rFonts w:ascii="Avenir Book" w:hAnsi="Avenir Book"/>
          <w:color w:val="000000"/>
        </w:rPr>
      </w:pPr>
      <w:r w:rsidRPr="00F85AC7">
        <w:rPr>
          <w:rFonts w:ascii="Avenir Book" w:hAnsi="Avenir Book"/>
          <w:color w:val="000000"/>
        </w:rPr>
        <w:t xml:space="preserve">A good example of diversified </w:t>
      </w:r>
      <w:r w:rsidR="008B5EDA" w:rsidRPr="00F85AC7">
        <w:rPr>
          <w:rFonts w:ascii="Avenir Book" w:hAnsi="Avenir Book"/>
          <w:color w:val="000000"/>
        </w:rPr>
        <w:t>Oversight Board</w:t>
      </w:r>
      <w:r w:rsidRPr="00F85AC7">
        <w:rPr>
          <w:rFonts w:ascii="Avenir Book" w:hAnsi="Avenir Book"/>
          <w:color w:val="000000"/>
        </w:rPr>
        <w:t xml:space="preserve"> composition can be seen in Texas’ Travis County, which has a seven-member oversight board comprised of “an academic, a private defense attorney, a former public defender, individuals directly impacted by the </w:t>
      </w:r>
      <w:r w:rsidRPr="00F85AC7">
        <w:rPr>
          <w:rFonts w:ascii="Avenir Book" w:hAnsi="Avenir Book"/>
        </w:rPr>
        <w:t>criminal legal system</w:t>
      </w:r>
      <w:r w:rsidRPr="00F85AC7">
        <w:rPr>
          <w:rFonts w:ascii="Avenir Book" w:hAnsi="Avenir Book"/>
          <w:color w:val="000000"/>
        </w:rPr>
        <w:t xml:space="preserve"> (e.g., family members of incarcerated or formerly incarcerated persons), community advocates, a retired judge, and a commissioner’s court representative who is selected from recommendations solicited from the community.”</w:t>
      </w:r>
      <w:r w:rsidRPr="00F85AC7">
        <w:rPr>
          <w:rFonts w:ascii="Avenir Book" w:hAnsi="Avenir Book"/>
          <w:color w:val="000000"/>
          <w:vertAlign w:val="superscript"/>
        </w:rPr>
        <w:endnoteReference w:id="144"/>
      </w:r>
      <w:r w:rsidRPr="00F85AC7">
        <w:rPr>
          <w:rFonts w:ascii="Avenir Book" w:hAnsi="Avenir Book"/>
          <w:color w:val="000000"/>
        </w:rPr>
        <w:t xml:space="preserve"> This diversity provides the </w:t>
      </w:r>
      <w:r w:rsidR="003559EF" w:rsidRPr="00F85AC7">
        <w:rPr>
          <w:rFonts w:ascii="Avenir Book" w:hAnsi="Avenir Book"/>
          <w:color w:val="000000"/>
        </w:rPr>
        <w:t>public defender office</w:t>
      </w:r>
      <w:r w:rsidRPr="00F85AC7">
        <w:rPr>
          <w:rFonts w:ascii="Avenir Book" w:hAnsi="Avenir Book"/>
          <w:color w:val="000000"/>
        </w:rPr>
        <w:t xml:space="preserve"> with actual and perceived independence from county politics.</w:t>
      </w:r>
    </w:p>
    <w:p w14:paraId="64C9CCC5" w14:textId="0DC0BD8C" w:rsidR="00144055" w:rsidRPr="00144055" w:rsidRDefault="00850C97" w:rsidP="00533702">
      <w:pPr>
        <w:pStyle w:val="head4"/>
      </w:pPr>
      <w:bookmarkStart w:id="23" w:name="_Toc62730378"/>
      <w:r>
        <w:t>Selecting</w:t>
      </w:r>
      <w:r w:rsidR="00144055">
        <w:t xml:space="preserve"> the Chief Public Defender</w:t>
      </w:r>
      <w:bookmarkEnd w:id="23"/>
    </w:p>
    <w:p w14:paraId="2CC186CC" w14:textId="77777777" w:rsidR="00144055" w:rsidRPr="00F85AC7" w:rsidRDefault="00144055" w:rsidP="00F85AC7">
      <w:pPr>
        <w:spacing w:line="360" w:lineRule="auto"/>
        <w:ind w:firstLine="720"/>
        <w:jc w:val="both"/>
        <w:rPr>
          <w:rFonts w:ascii="Avenir Book" w:hAnsi="Avenir Book"/>
        </w:rPr>
      </w:pPr>
      <w:r w:rsidRPr="00F85AC7">
        <w:rPr>
          <w:rFonts w:ascii="Avenir Book" w:hAnsi="Avenir Book"/>
        </w:rPr>
        <w:t xml:space="preserve">An Oversight Board’s primary charge should be ensuring the independence of the Chief </w:t>
      </w:r>
      <w:r w:rsidR="00850C97" w:rsidRPr="00F85AC7">
        <w:rPr>
          <w:rFonts w:ascii="Avenir Book" w:hAnsi="Avenir Book"/>
        </w:rPr>
        <w:t xml:space="preserve">Public </w:t>
      </w:r>
      <w:r w:rsidRPr="00F85AC7">
        <w:rPr>
          <w:rFonts w:ascii="Avenir Book" w:hAnsi="Avenir Book"/>
        </w:rPr>
        <w:t>Defender.</w:t>
      </w:r>
      <w:r w:rsidRPr="00F85AC7">
        <w:rPr>
          <w:rFonts w:ascii="Avenir Book" w:hAnsi="Avenir Book"/>
          <w:vertAlign w:val="superscript"/>
        </w:rPr>
        <w:endnoteReference w:id="145"/>
      </w:r>
      <w:r w:rsidRPr="00F85AC7">
        <w:rPr>
          <w:rFonts w:ascii="Avenir Book" w:hAnsi="Avenir Book"/>
        </w:rPr>
        <w:t xml:space="preserve"> Chief Defenders should be hired on their merits, as is the longstanding national standard,</w:t>
      </w:r>
      <w:r w:rsidRPr="00F85AC7">
        <w:rPr>
          <w:rFonts w:ascii="Avenir Book" w:hAnsi="Avenir Book"/>
          <w:vertAlign w:val="superscript"/>
        </w:rPr>
        <w:endnoteReference w:id="146"/>
      </w:r>
      <w:r w:rsidRPr="00F85AC7">
        <w:rPr>
          <w:rFonts w:ascii="Avenir Book" w:hAnsi="Avenir Book"/>
        </w:rPr>
        <w:t xml:space="preserve"> and neither the Chief Defender nor any other staff should be removed except upon a showing of good cause.</w:t>
      </w:r>
      <w:r w:rsidRPr="00F85AC7">
        <w:rPr>
          <w:rFonts w:ascii="Avenir Book" w:hAnsi="Avenir Book"/>
          <w:vertAlign w:val="superscript"/>
        </w:rPr>
        <w:endnoteReference w:id="147"/>
      </w:r>
      <w:r w:rsidRPr="00F85AC7">
        <w:rPr>
          <w:rFonts w:ascii="Avenir Book" w:hAnsi="Avenir Book"/>
        </w:rPr>
        <w:t xml:space="preserve"> Chief Defenders should be appointed for a fixed term of years, which is renewable.</w:t>
      </w:r>
      <w:r w:rsidRPr="00F85AC7">
        <w:rPr>
          <w:rFonts w:ascii="Avenir Book" w:hAnsi="Avenir Book"/>
          <w:vertAlign w:val="superscript"/>
        </w:rPr>
        <w:endnoteReference w:id="148"/>
      </w:r>
      <w:r w:rsidRPr="00F85AC7">
        <w:rPr>
          <w:rFonts w:ascii="Avenir Book" w:hAnsi="Avenir Book"/>
        </w:rPr>
        <w:t xml:space="preserve"> Selection of the Chief Defender and staff should not be based on any political considerations or any other outside factors unrelated to the ability of persons to discharge their employment obligations,</w:t>
      </w:r>
      <w:r w:rsidRPr="00F85AC7">
        <w:rPr>
          <w:rFonts w:ascii="Avenir Book" w:hAnsi="Avenir Book"/>
          <w:vertAlign w:val="superscript"/>
        </w:rPr>
        <w:endnoteReference w:id="149"/>
      </w:r>
      <w:r w:rsidRPr="00F85AC7">
        <w:rPr>
          <w:rFonts w:ascii="Avenir Book" w:hAnsi="Avenir Book"/>
        </w:rPr>
        <w:t xml:space="preserve"> and selections by judges should be prohibited entirely.</w:t>
      </w:r>
      <w:r w:rsidRPr="00F85AC7">
        <w:rPr>
          <w:rFonts w:ascii="Avenir Book" w:hAnsi="Avenir Book"/>
          <w:vertAlign w:val="superscript"/>
        </w:rPr>
        <w:endnoteReference w:id="150"/>
      </w:r>
    </w:p>
    <w:p w14:paraId="191CF187" w14:textId="37EC39F2" w:rsidR="00F01684" w:rsidRPr="00F85AC7" w:rsidRDefault="00AE54F4" w:rsidP="00F85AC7">
      <w:pPr>
        <w:spacing w:line="360" w:lineRule="auto"/>
        <w:ind w:firstLine="720"/>
        <w:jc w:val="both"/>
        <w:rPr>
          <w:rFonts w:ascii="Avenir Book" w:hAnsi="Avenir Book"/>
          <w:color w:val="000000"/>
        </w:rPr>
      </w:pPr>
      <w:r w:rsidRPr="00F85AC7">
        <w:rPr>
          <w:rFonts w:ascii="Avenir Book" w:hAnsi="Avenir Book"/>
          <w:color w:val="000000"/>
        </w:rPr>
        <w:lastRenderedPageBreak/>
        <w:t xml:space="preserve">Finally, the ABA adds that the selection of a </w:t>
      </w:r>
      <w:r w:rsidR="00C647ED">
        <w:rPr>
          <w:rFonts w:ascii="Avenir Book" w:hAnsi="Avenir Book"/>
          <w:color w:val="000000"/>
        </w:rPr>
        <w:t>C</w:t>
      </w:r>
      <w:r w:rsidRPr="00F85AC7">
        <w:rPr>
          <w:rFonts w:ascii="Avenir Book" w:hAnsi="Avenir Book"/>
          <w:color w:val="000000"/>
        </w:rPr>
        <w:t xml:space="preserve">hief </w:t>
      </w:r>
      <w:r w:rsidR="00C647ED">
        <w:rPr>
          <w:rFonts w:ascii="Avenir Book" w:hAnsi="Avenir Book"/>
          <w:color w:val="000000"/>
        </w:rPr>
        <w:t>D</w:t>
      </w:r>
      <w:r w:rsidRPr="00F85AC7">
        <w:rPr>
          <w:rFonts w:ascii="Avenir Book" w:hAnsi="Avenir Book"/>
          <w:color w:val="000000"/>
        </w:rPr>
        <w:t>efender should not be based on judicial or political considerations or any other factors unrelated to their ability to discharge their employment obligations."</w:t>
      </w:r>
      <w:r w:rsidRPr="00F85AC7">
        <w:rPr>
          <w:rFonts w:ascii="Avenir Book" w:hAnsi="Avenir Book"/>
          <w:color w:val="000000"/>
          <w:vertAlign w:val="superscript"/>
        </w:rPr>
        <w:endnoteReference w:id="151"/>
      </w:r>
    </w:p>
    <w:p w14:paraId="401C61F2" w14:textId="139F520B" w:rsidR="00F01684" w:rsidRPr="00F01684" w:rsidRDefault="0062312B" w:rsidP="00533702">
      <w:pPr>
        <w:pStyle w:val="head4"/>
      </w:pPr>
      <w:bookmarkStart w:id="24" w:name="_Toc62730379"/>
      <w:r w:rsidRPr="00F01684">
        <w:t>Other Functions</w:t>
      </w:r>
      <w:bookmarkEnd w:id="24"/>
    </w:p>
    <w:p w14:paraId="17F8AE1B" w14:textId="6B8D19F4" w:rsidR="00F914D9" w:rsidRPr="00B862A4" w:rsidRDefault="00F914D9" w:rsidP="00F85AC7">
      <w:pPr>
        <w:spacing w:line="360" w:lineRule="auto"/>
        <w:ind w:firstLine="720"/>
        <w:contextualSpacing/>
        <w:jc w:val="both"/>
        <w:rPr>
          <w:rFonts w:ascii="Avenir Book" w:hAnsi="Avenir Book"/>
          <w:color w:val="000000"/>
        </w:rPr>
      </w:pPr>
      <w:r w:rsidRPr="00B862A4">
        <w:rPr>
          <w:rFonts w:ascii="Avenir Book" w:hAnsi="Avenir Book"/>
        </w:rPr>
        <w:t xml:space="preserve">An independent Oversight Board can also serve the function as a conduit through which the judiciary and other outside stakeholders can raise any concerns about the operations of a public defender. </w:t>
      </w:r>
      <w:r w:rsidR="00ED7245" w:rsidRPr="00B862A4">
        <w:rPr>
          <w:rFonts w:ascii="Avenir Book" w:hAnsi="Avenir Book"/>
          <w:color w:val="000000"/>
        </w:rPr>
        <w:t xml:space="preserve">This is not to imply that all external, non-client related communication with </w:t>
      </w:r>
      <w:r w:rsidR="00B244E9">
        <w:rPr>
          <w:rFonts w:ascii="Avenir Book" w:hAnsi="Avenir Book"/>
          <w:color w:val="000000"/>
        </w:rPr>
        <w:t>a public defender office</w:t>
      </w:r>
      <w:r w:rsidR="00ED7245" w:rsidRPr="00B862A4">
        <w:rPr>
          <w:rFonts w:ascii="Avenir Book" w:hAnsi="Avenir Book"/>
          <w:color w:val="000000"/>
        </w:rPr>
        <w:t xml:space="preserve"> should be funneled through </w:t>
      </w:r>
      <w:r w:rsidR="00B244E9">
        <w:rPr>
          <w:rFonts w:ascii="Avenir Book" w:hAnsi="Avenir Book"/>
          <w:color w:val="000000"/>
        </w:rPr>
        <w:t>an</w:t>
      </w:r>
      <w:r w:rsidR="00ED7245" w:rsidRPr="00B862A4">
        <w:rPr>
          <w:rFonts w:ascii="Avenir Book" w:hAnsi="Avenir Book"/>
          <w:color w:val="000000"/>
        </w:rPr>
        <w:t xml:space="preserve"> Oversight Board; a properly functioning public defender office requires that defenders keep open lines of communication with the executive branch and the judiciary. It is only to highlight that the Oversight Board can provide another avenue for communication about </w:t>
      </w:r>
      <w:r w:rsidR="00B244E9">
        <w:rPr>
          <w:rFonts w:ascii="Avenir Book" w:hAnsi="Avenir Book"/>
          <w:color w:val="000000"/>
        </w:rPr>
        <w:t xml:space="preserve">defender </w:t>
      </w:r>
      <w:r w:rsidR="00ED7245" w:rsidRPr="00B862A4">
        <w:rPr>
          <w:rFonts w:ascii="Avenir Book" w:hAnsi="Avenir Book"/>
          <w:color w:val="000000"/>
        </w:rPr>
        <w:t>office practices that is independent and non-partisan.</w:t>
      </w:r>
    </w:p>
    <w:p w14:paraId="35FD91BD" w14:textId="7367AD12" w:rsidR="00F914D9" w:rsidRDefault="00ED7245" w:rsidP="00F85AC7">
      <w:pPr>
        <w:spacing w:line="360" w:lineRule="auto"/>
        <w:ind w:firstLine="720"/>
        <w:jc w:val="both"/>
        <w:rPr>
          <w:rFonts w:ascii="Avenir Book" w:hAnsi="Avenir Book"/>
        </w:rPr>
      </w:pPr>
      <w:r w:rsidRPr="00B862A4">
        <w:rPr>
          <w:rFonts w:ascii="Avenir Book" w:hAnsi="Avenir Book"/>
        </w:rPr>
        <w:t>An Oversight Board can also</w:t>
      </w:r>
      <w:r w:rsidR="00F914D9" w:rsidRPr="00B862A4">
        <w:rPr>
          <w:rFonts w:ascii="Avenir Book" w:hAnsi="Avenir Book"/>
        </w:rPr>
        <w:t xml:space="preserve"> cover other functions, such as serving as a liaison </w:t>
      </w:r>
      <w:r w:rsidR="00B244E9">
        <w:rPr>
          <w:rFonts w:ascii="Avenir Book" w:hAnsi="Avenir Book"/>
        </w:rPr>
        <w:t>between</w:t>
      </w:r>
      <w:r w:rsidR="00F914D9" w:rsidRPr="00B862A4">
        <w:rPr>
          <w:rFonts w:ascii="Avenir Book" w:hAnsi="Avenir Book"/>
        </w:rPr>
        <w:t xml:space="preserve"> the Public Defender Office, the political branches, and other stakeholders; monitoring office-wide compliance with national standards; and</w:t>
      </w:r>
      <w:r w:rsidRPr="00B862A4">
        <w:rPr>
          <w:rFonts w:ascii="Avenir Book" w:hAnsi="Avenir Book"/>
        </w:rPr>
        <w:t>,</w:t>
      </w:r>
      <w:r w:rsidR="00F914D9" w:rsidRPr="00B862A4">
        <w:rPr>
          <w:rFonts w:ascii="Avenir Book" w:hAnsi="Avenir Book"/>
        </w:rPr>
        <w:t xml:space="preserve"> if the jurisdiction so desires, coordinating the provision of indigent defense services from attorneys who do not work for the Public Defender</w:t>
      </w:r>
      <w:r w:rsidR="00B244E9">
        <w:rPr>
          <w:rFonts w:ascii="Avenir Book" w:hAnsi="Avenir Book"/>
        </w:rPr>
        <w:t xml:space="preserve"> (such as conflict counsel)</w:t>
      </w:r>
      <w:r w:rsidR="00F914D9" w:rsidRPr="00B862A4">
        <w:rPr>
          <w:rFonts w:ascii="Avenir Book" w:hAnsi="Avenir Book"/>
        </w:rPr>
        <w:t>.</w:t>
      </w:r>
      <w:r w:rsidR="00F914D9" w:rsidRPr="00B862A4">
        <w:rPr>
          <w:rFonts w:ascii="Avenir Book" w:hAnsi="Avenir Book"/>
          <w:vertAlign w:val="superscript"/>
        </w:rPr>
        <w:endnoteReference w:id="152"/>
      </w:r>
    </w:p>
    <w:p w14:paraId="49BB20AC" w14:textId="1DFF58A0" w:rsidR="00B244E9" w:rsidRDefault="00B244E9" w:rsidP="00B244E9">
      <w:pPr>
        <w:adjustRightInd w:val="0"/>
        <w:snapToGrid w:val="0"/>
        <w:spacing w:line="360" w:lineRule="auto"/>
        <w:ind w:firstLine="720"/>
        <w:jc w:val="both"/>
        <w:rPr>
          <w:rFonts w:ascii="Avenir Book" w:hAnsi="Avenir Book"/>
        </w:rPr>
      </w:pPr>
      <w:r>
        <w:rPr>
          <w:rFonts w:ascii="Avenir Book" w:hAnsi="Avenir Book"/>
        </w:rPr>
        <w:t>When structuring an Oversight Board under</w:t>
      </w:r>
      <w:r w:rsidR="00DE68C7" w:rsidRPr="00DE68C7">
        <w:rPr>
          <w:rFonts w:ascii="Avenir Book" w:hAnsi="Avenir Book"/>
        </w:rPr>
        <w:t xml:space="preserve"> Pennsylvania</w:t>
      </w:r>
      <w:r>
        <w:rPr>
          <w:rFonts w:ascii="Avenir Book" w:hAnsi="Avenir Book"/>
        </w:rPr>
        <w:t xml:space="preserve"> law</w:t>
      </w:r>
      <w:r w:rsidR="00DE68C7" w:rsidRPr="00DE68C7">
        <w:rPr>
          <w:rFonts w:ascii="Avenir Book" w:hAnsi="Avenir Book"/>
        </w:rPr>
        <w:t xml:space="preserve">, consideration must also be given to </w:t>
      </w:r>
      <w:r w:rsidRPr="00DE68C7">
        <w:rPr>
          <w:rFonts w:ascii="Avenir Book" w:hAnsi="Avenir Book"/>
        </w:rPr>
        <w:t>compl</w:t>
      </w:r>
      <w:r>
        <w:rPr>
          <w:rFonts w:ascii="Avenir Book" w:hAnsi="Avenir Book"/>
        </w:rPr>
        <w:t>iance</w:t>
      </w:r>
      <w:r w:rsidR="00DE68C7" w:rsidRPr="00DE68C7">
        <w:rPr>
          <w:rFonts w:ascii="Avenir Book" w:hAnsi="Avenir Book"/>
        </w:rPr>
        <w:t xml:space="preserve"> with </w:t>
      </w:r>
      <w:r>
        <w:rPr>
          <w:rFonts w:ascii="Avenir Book" w:hAnsi="Avenir Book"/>
        </w:rPr>
        <w:t xml:space="preserve">the </w:t>
      </w:r>
      <w:r w:rsidR="00DE68C7" w:rsidRPr="00DE68C7">
        <w:rPr>
          <w:rFonts w:ascii="Avenir Book" w:hAnsi="Avenir Book"/>
        </w:rPr>
        <w:t>provisions of the Commonwealth’s Open Meeting Law</w:t>
      </w:r>
      <w:r w:rsidR="00DE68C7">
        <w:rPr>
          <w:rFonts w:ascii="Avenir Book" w:hAnsi="Avenir Book"/>
        </w:rPr>
        <w:t xml:space="preserve"> (the “Sunshine Act”)</w:t>
      </w:r>
      <w:r w:rsidR="00DE68C7" w:rsidRPr="00DE68C7">
        <w:rPr>
          <w:rFonts w:ascii="Avenir Book" w:hAnsi="Avenir Book"/>
        </w:rPr>
        <w:t xml:space="preserve">, 65 </w:t>
      </w:r>
      <w:proofErr w:type="spellStart"/>
      <w:r w:rsidR="00DE68C7" w:rsidRPr="00DE68C7">
        <w:rPr>
          <w:rFonts w:ascii="Avenir Book" w:hAnsi="Avenir Book"/>
        </w:rPr>
        <w:t>Pa.C.S</w:t>
      </w:r>
      <w:proofErr w:type="spellEnd"/>
      <w:r w:rsidR="00DE68C7" w:rsidRPr="00DE68C7">
        <w:rPr>
          <w:rFonts w:ascii="Avenir Book" w:hAnsi="Avenir Book"/>
        </w:rPr>
        <w:t xml:space="preserve">. §§ 701 </w:t>
      </w:r>
      <w:r w:rsidR="00DE68C7" w:rsidRPr="00DE68C7">
        <w:rPr>
          <w:rFonts w:ascii="Avenir Book" w:hAnsi="Avenir Book"/>
          <w:i/>
          <w:iCs/>
        </w:rPr>
        <w:t>et seq</w:t>
      </w:r>
      <w:r w:rsidR="00DE68C7" w:rsidRPr="00DE68C7">
        <w:rPr>
          <w:rFonts w:ascii="Avenir Book" w:hAnsi="Avenir Book"/>
        </w:rPr>
        <w:t xml:space="preserve">.  Whether and to what extent </w:t>
      </w:r>
      <w:r w:rsidR="00DE68C7">
        <w:rPr>
          <w:rFonts w:ascii="Avenir Book" w:hAnsi="Avenir Book"/>
        </w:rPr>
        <w:t>the Sunshine Act</w:t>
      </w:r>
      <w:r w:rsidR="00DE68C7" w:rsidRPr="00DE68C7">
        <w:rPr>
          <w:rFonts w:ascii="Avenir Book" w:hAnsi="Avenir Book"/>
        </w:rPr>
        <w:t xml:space="preserve"> applies will be determined, largely, by the responsibilities the </w:t>
      </w:r>
      <w:r w:rsidR="00DE68C7">
        <w:rPr>
          <w:rFonts w:ascii="Avenir Book" w:hAnsi="Avenir Book"/>
        </w:rPr>
        <w:t>B</w:t>
      </w:r>
      <w:r w:rsidR="00DE68C7" w:rsidRPr="00DE68C7">
        <w:rPr>
          <w:rFonts w:ascii="Avenir Book" w:hAnsi="Avenir Book"/>
        </w:rPr>
        <w:t xml:space="preserve">oard is assigned and to whom it reports. </w:t>
      </w:r>
      <w:r>
        <w:rPr>
          <w:rFonts w:ascii="Avenir Book" w:hAnsi="Avenir Book"/>
        </w:rPr>
        <w:t>Crucially</w:t>
      </w:r>
      <w:r w:rsidR="00DE68C7" w:rsidRPr="00DE68C7">
        <w:rPr>
          <w:rFonts w:ascii="Avenir Book" w:hAnsi="Avenir Book"/>
        </w:rPr>
        <w:t xml:space="preserve">, the Sunshine </w:t>
      </w:r>
      <w:r w:rsidR="00DE68C7">
        <w:rPr>
          <w:rFonts w:ascii="Avenir Book" w:hAnsi="Avenir Book"/>
        </w:rPr>
        <w:t>Act</w:t>
      </w:r>
      <w:r w:rsidR="00DE68C7" w:rsidRPr="00DE68C7">
        <w:rPr>
          <w:rFonts w:ascii="Avenir Book" w:hAnsi="Avenir Book"/>
        </w:rPr>
        <w:t xml:space="preserve"> applies primarily to </w:t>
      </w:r>
      <w:r>
        <w:rPr>
          <w:rFonts w:ascii="Avenir Book" w:hAnsi="Avenir Book"/>
        </w:rPr>
        <w:t>any</w:t>
      </w:r>
      <w:r w:rsidR="00DE68C7" w:rsidRPr="00DE68C7">
        <w:rPr>
          <w:rFonts w:ascii="Avenir Book" w:hAnsi="Avenir Book"/>
        </w:rPr>
        <w:t xml:space="preserve"> committee that, </w:t>
      </w:r>
      <w:r w:rsidR="00DE68C7" w:rsidRPr="00DE68C7">
        <w:rPr>
          <w:rFonts w:ascii="Avenir Book" w:hAnsi="Avenir Book"/>
          <w:i/>
          <w:iCs/>
        </w:rPr>
        <w:t>inter alia</w:t>
      </w:r>
      <w:r w:rsidR="00DE68C7" w:rsidRPr="00DE68C7">
        <w:rPr>
          <w:rFonts w:ascii="Avenir Book" w:hAnsi="Avenir Book"/>
        </w:rPr>
        <w:t>, “renders advice” to a government “body.”</w:t>
      </w:r>
      <w:r w:rsidR="00DE68C7" w:rsidRPr="00DE68C7">
        <w:rPr>
          <w:rFonts w:ascii="Avenir Book" w:hAnsi="Avenir Book"/>
          <w:vertAlign w:val="superscript"/>
        </w:rPr>
        <w:endnoteReference w:id="153"/>
      </w:r>
      <w:r w:rsidR="00DE68C7" w:rsidRPr="00DE68C7">
        <w:rPr>
          <w:rFonts w:ascii="Avenir Book" w:hAnsi="Avenir Book"/>
        </w:rPr>
        <w:t xml:space="preserve"> There is support in Pennsylvania law for treating an Oversight Board for the Public Defender’s Office as an “ad hoc” committee not subject to open meeting requirements.</w:t>
      </w:r>
      <w:r w:rsidR="00DE68C7" w:rsidRPr="00DE68C7">
        <w:rPr>
          <w:rFonts w:ascii="Avenir Book" w:hAnsi="Avenir Book"/>
          <w:vertAlign w:val="superscript"/>
        </w:rPr>
        <w:endnoteReference w:id="154"/>
      </w:r>
      <w:r w:rsidRPr="00B244E9">
        <w:rPr>
          <w:rFonts w:ascii="Avenir Book" w:hAnsi="Avenir Book"/>
        </w:rPr>
        <w:t xml:space="preserve"> </w:t>
      </w:r>
    </w:p>
    <w:p w14:paraId="2037924B" w14:textId="3B48D801" w:rsidR="00B244E9" w:rsidRDefault="00B244E9" w:rsidP="00B244E9">
      <w:pPr>
        <w:adjustRightInd w:val="0"/>
        <w:snapToGrid w:val="0"/>
        <w:spacing w:line="360" w:lineRule="auto"/>
        <w:ind w:firstLine="720"/>
        <w:jc w:val="both"/>
        <w:rPr>
          <w:rFonts w:ascii="Avenir Book" w:hAnsi="Avenir Book"/>
        </w:rPr>
      </w:pPr>
      <w:r>
        <w:rPr>
          <w:rFonts w:ascii="Avenir Book" w:hAnsi="Avenir Book"/>
        </w:rPr>
        <w:lastRenderedPageBreak/>
        <w:t>In addition, m</w:t>
      </w:r>
      <w:r w:rsidRPr="00DE68C7">
        <w:rPr>
          <w:rFonts w:ascii="Avenir Book" w:hAnsi="Avenir Book"/>
        </w:rPr>
        <w:t>any of the mission-critical issues a</w:t>
      </w:r>
      <w:r>
        <w:rPr>
          <w:rFonts w:ascii="Avenir Book" w:hAnsi="Avenir Book"/>
        </w:rPr>
        <w:t>n Oversight</w:t>
      </w:r>
      <w:r w:rsidRPr="00DE68C7">
        <w:rPr>
          <w:rFonts w:ascii="Avenir Book" w:hAnsi="Avenir Book"/>
        </w:rPr>
        <w:t xml:space="preserve"> Board would focus on would likely be deemed “executive actions” which may be addressed without public attendance.</w:t>
      </w:r>
      <w:r w:rsidRPr="00DE68C7">
        <w:rPr>
          <w:rFonts w:ascii="Avenir Book" w:hAnsi="Avenir Book"/>
          <w:vertAlign w:val="superscript"/>
        </w:rPr>
        <w:endnoteReference w:id="155"/>
      </w:r>
      <w:r w:rsidRPr="00DE68C7">
        <w:rPr>
          <w:rFonts w:ascii="Avenir Book" w:hAnsi="Avenir Book"/>
        </w:rPr>
        <w:t xml:space="preserve">  This would include discussions of</w:t>
      </w:r>
      <w:r>
        <w:rPr>
          <w:rFonts w:ascii="Avenir Book" w:hAnsi="Avenir Book"/>
        </w:rPr>
        <w:t>:</w:t>
      </w:r>
    </w:p>
    <w:p w14:paraId="0EF3F94D" w14:textId="77777777" w:rsidR="00B244E9" w:rsidRPr="00DE68C7" w:rsidRDefault="00B244E9" w:rsidP="00B244E9">
      <w:pPr>
        <w:adjustRightInd w:val="0"/>
        <w:snapToGrid w:val="0"/>
        <w:ind w:firstLine="720"/>
        <w:jc w:val="both"/>
        <w:rPr>
          <w:rFonts w:ascii="Avenir Book" w:hAnsi="Avenir Book"/>
        </w:rPr>
      </w:pPr>
    </w:p>
    <w:p w14:paraId="40AFBF56" w14:textId="77777777" w:rsidR="00B244E9" w:rsidRPr="00DE68C7" w:rsidRDefault="00B244E9" w:rsidP="00B244E9">
      <w:pPr>
        <w:numPr>
          <w:ilvl w:val="0"/>
          <w:numId w:val="21"/>
        </w:numPr>
        <w:adjustRightInd w:val="0"/>
        <w:snapToGrid w:val="0"/>
        <w:ind w:right="720"/>
        <w:jc w:val="both"/>
        <w:rPr>
          <w:rFonts w:ascii="Avenir Book" w:hAnsi="Avenir Book"/>
        </w:rPr>
      </w:pPr>
      <w:r w:rsidRPr="00DE68C7">
        <w:rPr>
          <w:rFonts w:ascii="Avenir Book" w:hAnsi="Avenir Book"/>
        </w:rPr>
        <w:t xml:space="preserve">issues of appointment, employment and termination of employees (e.g. the Chief Defender); </w:t>
      </w:r>
    </w:p>
    <w:p w14:paraId="314C2135" w14:textId="77777777" w:rsidR="00B244E9" w:rsidRPr="00DE68C7" w:rsidRDefault="00B244E9" w:rsidP="00B244E9">
      <w:pPr>
        <w:numPr>
          <w:ilvl w:val="0"/>
          <w:numId w:val="21"/>
        </w:numPr>
        <w:adjustRightInd w:val="0"/>
        <w:snapToGrid w:val="0"/>
        <w:ind w:right="720"/>
        <w:jc w:val="both"/>
        <w:rPr>
          <w:rFonts w:ascii="Avenir Book" w:hAnsi="Avenir Book"/>
        </w:rPr>
      </w:pPr>
      <w:r w:rsidRPr="00DE68C7">
        <w:rPr>
          <w:rFonts w:ascii="Avenir Book" w:hAnsi="Avenir Book"/>
        </w:rPr>
        <w:t xml:space="preserve">“information or strategy in connection with litigation or with issues on which identifiable complaints are expected to be </w:t>
      </w:r>
      <w:proofErr w:type="gramStart"/>
      <w:r w:rsidRPr="00DE68C7">
        <w:rPr>
          <w:rFonts w:ascii="Avenir Book" w:hAnsi="Avenir Book"/>
        </w:rPr>
        <w:t>filed[</w:t>
      </w:r>
      <w:proofErr w:type="gramEnd"/>
      <w:r w:rsidRPr="00DE68C7">
        <w:rPr>
          <w:rFonts w:ascii="Avenir Book" w:hAnsi="Avenir Book"/>
        </w:rPr>
        <w:t>;]” and</w:t>
      </w:r>
    </w:p>
    <w:p w14:paraId="50A2B55C" w14:textId="77777777" w:rsidR="00B244E9" w:rsidRDefault="00B244E9" w:rsidP="00B244E9">
      <w:pPr>
        <w:numPr>
          <w:ilvl w:val="0"/>
          <w:numId w:val="21"/>
        </w:numPr>
        <w:adjustRightInd w:val="0"/>
        <w:snapToGrid w:val="0"/>
        <w:ind w:right="720"/>
        <w:jc w:val="both"/>
        <w:rPr>
          <w:rFonts w:ascii="Avenir Book" w:hAnsi="Avenir Book"/>
        </w:rPr>
      </w:pPr>
      <w:r w:rsidRPr="00DE68C7">
        <w:rPr>
          <w:rFonts w:ascii="Avenir Book" w:hAnsi="Avenir Book"/>
        </w:rPr>
        <w:t>“agency business which, if conducted in public, would violate a lawful privilege or lead to the disclosure of information or confidentiality protected by law, including matters related to the initiation and conduct of investigations of possible or certain violations of the law and quasi-judicial deliberations.”</w:t>
      </w:r>
      <w:r w:rsidRPr="00DE68C7">
        <w:rPr>
          <w:rFonts w:ascii="Avenir Book" w:hAnsi="Avenir Book"/>
          <w:vertAlign w:val="superscript"/>
        </w:rPr>
        <w:endnoteReference w:id="156"/>
      </w:r>
    </w:p>
    <w:p w14:paraId="7F6D9BC6" w14:textId="0D1472BA" w:rsidR="00DE68C7" w:rsidRPr="00DE68C7" w:rsidRDefault="00DE68C7" w:rsidP="00DE68C7">
      <w:pPr>
        <w:spacing w:line="360" w:lineRule="auto"/>
        <w:ind w:firstLine="720"/>
        <w:jc w:val="both"/>
        <w:rPr>
          <w:rFonts w:ascii="Avenir Book" w:hAnsi="Avenir Book"/>
        </w:rPr>
      </w:pPr>
    </w:p>
    <w:p w14:paraId="61084D97" w14:textId="0B732A99" w:rsidR="00DE68C7" w:rsidRPr="00DE68C7" w:rsidRDefault="00DE68C7" w:rsidP="00B244E9">
      <w:pPr>
        <w:adjustRightInd w:val="0"/>
        <w:snapToGrid w:val="0"/>
        <w:spacing w:line="360" w:lineRule="auto"/>
        <w:ind w:firstLine="720"/>
        <w:jc w:val="both"/>
        <w:rPr>
          <w:rFonts w:ascii="Avenir Book" w:hAnsi="Avenir Book"/>
        </w:rPr>
      </w:pPr>
      <w:r w:rsidRPr="00DE68C7">
        <w:rPr>
          <w:rFonts w:ascii="Avenir Book" w:hAnsi="Avenir Book"/>
        </w:rPr>
        <w:t>Importantly, though, it would not</w:t>
      </w:r>
      <w:r w:rsidR="00B244E9">
        <w:rPr>
          <w:rFonts w:ascii="Avenir Book" w:hAnsi="Avenir Book"/>
        </w:rPr>
        <w:t xml:space="preserve"> necessarily</w:t>
      </w:r>
      <w:r w:rsidRPr="00DE68C7">
        <w:rPr>
          <w:rFonts w:ascii="Avenir Book" w:hAnsi="Avenir Book"/>
        </w:rPr>
        <w:t xml:space="preserve"> be detrimental if the contemplated Oversight Board is deemed subject to the Sunshine </w:t>
      </w:r>
      <w:r>
        <w:rPr>
          <w:rFonts w:ascii="Avenir Book" w:hAnsi="Avenir Book"/>
        </w:rPr>
        <w:t>Act</w:t>
      </w:r>
      <w:r w:rsidRPr="00DE68C7">
        <w:rPr>
          <w:rFonts w:ascii="Avenir Book" w:hAnsi="Avenir Book"/>
        </w:rPr>
        <w:t xml:space="preserve"> and its open meeting requirements.  Public observation of and input </w:t>
      </w:r>
      <w:r w:rsidR="00B244E9">
        <w:rPr>
          <w:rFonts w:ascii="Avenir Book" w:hAnsi="Avenir Book"/>
        </w:rPr>
        <w:t>in</w:t>
      </w:r>
      <w:r w:rsidRPr="00DE68C7">
        <w:rPr>
          <w:rFonts w:ascii="Avenir Book" w:hAnsi="Avenir Book"/>
        </w:rPr>
        <w:t>to criminal justice</w:t>
      </w:r>
      <w:r w:rsidR="00B244E9">
        <w:rPr>
          <w:rFonts w:ascii="Avenir Book" w:hAnsi="Avenir Book"/>
        </w:rPr>
        <w:t xml:space="preserve"> and </w:t>
      </w:r>
      <w:r w:rsidRPr="00DE68C7">
        <w:rPr>
          <w:rFonts w:ascii="Avenir Book" w:hAnsi="Avenir Book"/>
        </w:rPr>
        <w:t xml:space="preserve">indigent defense discussions can increase both accuracy and legitimacy, and confidentiality can be maintained where required by law.  </w:t>
      </w:r>
    </w:p>
    <w:p w14:paraId="5370C6B1" w14:textId="6AD95B89" w:rsidR="0071410C" w:rsidRPr="0071410C" w:rsidRDefault="003C5E58" w:rsidP="00533702">
      <w:pPr>
        <w:pStyle w:val="head4"/>
      </w:pPr>
      <w:bookmarkStart w:id="25" w:name="_Toc62730380"/>
      <w:r>
        <w:t>Political</w:t>
      </w:r>
      <w:r w:rsidR="0071410C">
        <w:t xml:space="preserve"> Considerations</w:t>
      </w:r>
      <w:bookmarkEnd w:id="25"/>
    </w:p>
    <w:p w14:paraId="28331140" w14:textId="567D576E" w:rsidR="00702ABC" w:rsidRPr="00B862A4" w:rsidRDefault="00417631" w:rsidP="00B862A4">
      <w:pPr>
        <w:spacing w:line="360" w:lineRule="auto"/>
        <w:ind w:firstLine="720"/>
        <w:jc w:val="both"/>
        <w:rPr>
          <w:rFonts w:ascii="Avenir Book" w:hAnsi="Avenir Book"/>
          <w:color w:val="000000"/>
        </w:rPr>
      </w:pPr>
      <w:r w:rsidRPr="00B862A4">
        <w:rPr>
          <w:rFonts w:ascii="Avenir Book" w:hAnsi="Avenir Book"/>
          <w:color w:val="000000"/>
        </w:rPr>
        <w:t xml:space="preserve">Implementing </w:t>
      </w:r>
      <w:sdt>
        <w:sdtPr>
          <w:rPr>
            <w:rFonts w:ascii="Avenir Book" w:hAnsi="Avenir Book"/>
          </w:rPr>
          <w:tag w:val="goog_rdk_138"/>
          <w:id w:val="1628512571"/>
        </w:sdtPr>
        <w:sdtEndPr/>
        <w:sdtContent/>
      </w:sdt>
      <w:r w:rsidRPr="00B862A4">
        <w:rPr>
          <w:rFonts w:ascii="Avenir Book" w:hAnsi="Avenir Book"/>
          <w:color w:val="000000"/>
        </w:rPr>
        <w:t>an Oversight Board may pose certain political challenges. Governments taking this approach have faced a “lack of political resolve” and the refusal of judicial and political actors to cede control.</w:t>
      </w:r>
      <w:r w:rsidRPr="00B862A4">
        <w:rPr>
          <w:rFonts w:ascii="Avenir Book" w:hAnsi="Avenir Book"/>
          <w:color w:val="000000"/>
          <w:vertAlign w:val="superscript"/>
        </w:rPr>
        <w:endnoteReference w:id="157"/>
      </w:r>
      <w:r w:rsidRPr="00B862A4">
        <w:rPr>
          <w:rFonts w:ascii="Avenir Book" w:hAnsi="Avenir Book"/>
          <w:color w:val="000000"/>
        </w:rPr>
        <w:t xml:space="preserve"> The latter challenge is particularly prominent in states that opt to fund indigent defense services through county or hybrid funding models. If a state is unwilling to provide, at the very least, a majority of the funding needed for indigent defense services, any requirements imposed by an Oversight Board are “likely to be viewed as unfunded mandates.”</w:t>
      </w:r>
      <w:r w:rsidRPr="00B862A4">
        <w:rPr>
          <w:rFonts w:ascii="Avenir Book" w:hAnsi="Avenir Book"/>
          <w:color w:val="000000"/>
          <w:vertAlign w:val="superscript"/>
        </w:rPr>
        <w:endnoteReference w:id="158"/>
      </w:r>
      <w:r w:rsidRPr="00B862A4">
        <w:rPr>
          <w:rFonts w:ascii="Avenir Book" w:hAnsi="Avenir Book"/>
          <w:color w:val="000000"/>
        </w:rPr>
        <w:t xml:space="preserve"> Tensions naturally arise when local governments are expected to bear the brunt of funding indigent defense services, but are nonetheless asked to willingly cede control of how those </w:t>
      </w:r>
      <w:r w:rsidRPr="00B862A4">
        <w:rPr>
          <w:rFonts w:ascii="Avenir Book" w:hAnsi="Avenir Book"/>
          <w:color w:val="000000"/>
        </w:rPr>
        <w:lastRenderedPageBreak/>
        <w:t>services are provided.</w:t>
      </w:r>
      <w:r w:rsidRPr="00B862A4">
        <w:rPr>
          <w:rFonts w:ascii="Avenir Book" w:hAnsi="Avenir Book"/>
          <w:color w:val="000000"/>
          <w:vertAlign w:val="superscript"/>
        </w:rPr>
        <w:endnoteReference w:id="159"/>
      </w:r>
      <w:r w:rsidRPr="00B862A4">
        <w:rPr>
          <w:rFonts w:ascii="Avenir Book" w:hAnsi="Avenir Book"/>
          <w:color w:val="000000"/>
        </w:rPr>
        <w:t xml:space="preserve"> Ceding control to an independent Oversight Board also means local governments cannot structure indigent defense services in a manner that prioritizes containing costs, thereby creating a “tug of war” between their fiscal interests and an Oversight Board’s indigent defense interests.</w:t>
      </w:r>
      <w:r w:rsidRPr="00B862A4">
        <w:rPr>
          <w:rFonts w:ascii="Avenir Book" w:hAnsi="Avenir Book"/>
          <w:color w:val="000000"/>
          <w:vertAlign w:val="superscript"/>
        </w:rPr>
        <w:endnoteReference w:id="160"/>
      </w:r>
    </w:p>
    <w:p w14:paraId="531D46FB" w14:textId="30F07D57" w:rsidR="00F914D9" w:rsidRPr="00B862A4" w:rsidRDefault="00017C35" w:rsidP="00533702">
      <w:pPr>
        <w:pStyle w:val="head4"/>
      </w:pPr>
      <w:bookmarkStart w:id="26" w:name="_Toc62730381"/>
      <w:r w:rsidRPr="00B862A4">
        <w:t>Internal Structures: Human Resources and Case Assignment</w:t>
      </w:r>
      <w:r w:rsidR="0025235D" w:rsidRPr="00B862A4">
        <w:t xml:space="preserve"> Assessment</w:t>
      </w:r>
      <w:bookmarkEnd w:id="26"/>
    </w:p>
    <w:p w14:paraId="3911044C" w14:textId="023D45BB" w:rsidR="0025235D" w:rsidRPr="00A16DC4" w:rsidRDefault="00A16DC4" w:rsidP="00A16DC4">
      <w:pPr>
        <w:pBdr>
          <w:top w:val="nil"/>
          <w:left w:val="nil"/>
          <w:bottom w:val="nil"/>
          <w:right w:val="nil"/>
          <w:between w:val="nil"/>
        </w:pBdr>
        <w:spacing w:line="360" w:lineRule="auto"/>
        <w:ind w:firstLine="720"/>
        <w:jc w:val="both"/>
        <w:rPr>
          <w:rFonts w:ascii="Avenir Book" w:hAnsi="Avenir Book"/>
          <w:color w:val="000000"/>
        </w:rPr>
      </w:pPr>
      <w:r>
        <w:rPr>
          <w:rFonts w:ascii="Avenir Book" w:hAnsi="Avenir Book"/>
          <w:color w:val="000000"/>
        </w:rPr>
        <w:t xml:space="preserve">Assigning a </w:t>
      </w:r>
      <w:r w:rsidRPr="00B862A4">
        <w:rPr>
          <w:rFonts w:ascii="Avenir Book" w:hAnsi="Avenir Book"/>
          <w:color w:val="000000"/>
        </w:rPr>
        <w:t xml:space="preserve">Human Resources professional </w:t>
      </w:r>
      <w:r>
        <w:rPr>
          <w:rFonts w:ascii="Avenir Book" w:hAnsi="Avenir Book"/>
          <w:color w:val="000000"/>
        </w:rPr>
        <w:t xml:space="preserve">to a public defender office can </w:t>
      </w:r>
      <w:r w:rsidR="0025235D" w:rsidRPr="00B862A4">
        <w:rPr>
          <w:rFonts w:ascii="Avenir Book" w:hAnsi="Avenir Book"/>
          <w:color w:val="000000"/>
        </w:rPr>
        <w:t>increas</w:t>
      </w:r>
      <w:r>
        <w:rPr>
          <w:rFonts w:ascii="Avenir Book" w:hAnsi="Avenir Book"/>
          <w:color w:val="000000"/>
        </w:rPr>
        <w:t xml:space="preserve">e both </w:t>
      </w:r>
      <w:r w:rsidR="0025235D" w:rsidRPr="00B862A4">
        <w:rPr>
          <w:rFonts w:ascii="Avenir Book" w:hAnsi="Avenir Book"/>
          <w:color w:val="000000"/>
        </w:rPr>
        <w:t xml:space="preserve">the real and perceived independence of </w:t>
      </w:r>
      <w:r>
        <w:rPr>
          <w:rFonts w:ascii="Avenir Book" w:hAnsi="Avenir Book"/>
          <w:color w:val="000000"/>
        </w:rPr>
        <w:t xml:space="preserve">a public defender office – </w:t>
      </w:r>
      <w:r w:rsidRPr="00A16DC4">
        <w:rPr>
          <w:rFonts w:ascii="Avenir Book" w:hAnsi="Avenir Book"/>
          <w:color w:val="000000"/>
        </w:rPr>
        <w:t xml:space="preserve"> it can provide the opportunity for the organization to maintain control over internal practices, at least at the initial stages; it can help the organization secure confidential information; it can resolve tensions and conflicts within the organization; and it can cultivate an internal culture of transparency.</w:t>
      </w:r>
      <w:r>
        <w:rPr>
          <w:rFonts w:ascii="Avenir Book" w:hAnsi="Avenir Book"/>
          <w:color w:val="000000"/>
        </w:rPr>
        <w:t xml:space="preserve"> </w:t>
      </w:r>
      <w:r w:rsidRPr="00A16DC4">
        <w:rPr>
          <w:rFonts w:ascii="Avenir Book" w:hAnsi="Avenir Book"/>
          <w:color w:val="000000"/>
        </w:rPr>
        <w:t>Transparency, in this context, refers to structures that allow for information to be shared freely within the organization without fear that the information will be disclosed outside of it. Transparency helps build trust between attorneys, staff, and management, creating a stronger organizational culture.</w:t>
      </w:r>
      <w:r>
        <w:rPr>
          <w:rFonts w:ascii="Avenir Book" w:hAnsi="Avenir Book"/>
          <w:color w:val="000000"/>
        </w:rPr>
        <w:t xml:space="preserve"> It also helps define relationships and draw healthy boundaries between the public defender office and other branches of government.</w:t>
      </w:r>
    </w:p>
    <w:p w14:paraId="7802E7D5" w14:textId="5E3EA29F" w:rsidR="00D256E7" w:rsidRPr="00B862A4" w:rsidRDefault="00A16DC4" w:rsidP="00B862A4">
      <w:pPr>
        <w:spacing w:line="360" w:lineRule="auto"/>
        <w:ind w:firstLine="720"/>
        <w:jc w:val="both"/>
        <w:rPr>
          <w:rFonts w:ascii="Avenir Book" w:hAnsi="Avenir Book"/>
        </w:rPr>
      </w:pPr>
      <w:r>
        <w:rPr>
          <w:rFonts w:ascii="Avenir Book" w:hAnsi="Avenir Book"/>
        </w:rPr>
        <w:t xml:space="preserve">Diversifying the ways in which public defenders are assigned to cases and courtrooms can also increase independence. </w:t>
      </w:r>
      <w:r w:rsidR="0025235D" w:rsidRPr="00B862A4">
        <w:rPr>
          <w:rFonts w:ascii="Avenir Book" w:hAnsi="Avenir Book"/>
        </w:rPr>
        <w:t xml:space="preserve">There are many benefits </w:t>
      </w:r>
      <w:r>
        <w:rPr>
          <w:rFonts w:ascii="Avenir Book" w:hAnsi="Avenir Book"/>
        </w:rPr>
        <w:t>to</w:t>
      </w:r>
      <w:r w:rsidR="0025235D" w:rsidRPr="00B862A4">
        <w:rPr>
          <w:rFonts w:ascii="Avenir Book" w:hAnsi="Avenir Book"/>
        </w:rPr>
        <w:t xml:space="preserve"> trial team system</w:t>
      </w:r>
      <w:r>
        <w:rPr>
          <w:rFonts w:ascii="Avenir Book" w:hAnsi="Avenir Book"/>
        </w:rPr>
        <w:t xml:space="preserve">s, such as the one currently used by the </w:t>
      </w:r>
      <w:r w:rsidR="00D07881">
        <w:rPr>
          <w:rFonts w:ascii="Avenir Book" w:hAnsi="Avenir Book"/>
        </w:rPr>
        <w:t>Montgomery County Office of the Public Defender</w:t>
      </w:r>
      <w:r w:rsidR="0025235D" w:rsidRPr="00B862A4">
        <w:rPr>
          <w:rFonts w:ascii="Avenir Book" w:hAnsi="Avenir Book"/>
        </w:rPr>
        <w:t>.</w:t>
      </w:r>
      <w:r w:rsidR="0025235D" w:rsidRPr="00B862A4">
        <w:rPr>
          <w:rStyle w:val="EndnoteReference"/>
          <w:rFonts w:ascii="Avenir Book" w:hAnsi="Avenir Book"/>
        </w:rPr>
        <w:endnoteReference w:id="161"/>
      </w:r>
      <w:r w:rsidR="0025235D" w:rsidRPr="00B862A4">
        <w:rPr>
          <w:rFonts w:ascii="Avenir Book" w:hAnsi="Avenir Book"/>
        </w:rPr>
        <w:t xml:space="preserve"> But while familiarity and repetition can often be an advantage in courtroom settings – for instance, by streamlining interactions that may otherwise be more time consuming – these same features can also be deleterious to attorney independence.</w:t>
      </w:r>
      <w:r w:rsidR="00BE05A7" w:rsidRPr="00B862A4">
        <w:rPr>
          <w:rStyle w:val="EndnoteReference"/>
          <w:rFonts w:ascii="Avenir Book" w:hAnsi="Avenir Book"/>
        </w:rPr>
        <w:endnoteReference w:id="162"/>
      </w:r>
      <w:r w:rsidR="0025235D" w:rsidRPr="00B862A4">
        <w:rPr>
          <w:rFonts w:ascii="Avenir Book" w:hAnsi="Avenir Book"/>
        </w:rPr>
        <w:t xml:space="preserve"> Courtroom-based case assignment can threaten to calcify courtroom roles, practices, and customs, in a way that may unintentionally limit an attorney’s ability to zealously represent their client. </w:t>
      </w:r>
    </w:p>
    <w:p w14:paraId="123DE68A" w14:textId="7AE4EA55" w:rsidR="00B862A4" w:rsidRDefault="0025235D" w:rsidP="00B862A4">
      <w:pPr>
        <w:spacing w:line="360" w:lineRule="auto"/>
        <w:ind w:firstLine="720"/>
        <w:jc w:val="both"/>
        <w:rPr>
          <w:rFonts w:ascii="Avenir Book" w:hAnsi="Avenir Book"/>
        </w:rPr>
      </w:pPr>
      <w:r w:rsidRPr="00B862A4">
        <w:rPr>
          <w:rFonts w:ascii="Avenir Book" w:hAnsi="Avenir Book"/>
        </w:rPr>
        <w:lastRenderedPageBreak/>
        <w:t>A</w:t>
      </w:r>
      <w:r w:rsidR="00D256E7" w:rsidRPr="00B862A4">
        <w:rPr>
          <w:rFonts w:ascii="Avenir Book" w:hAnsi="Avenir Book"/>
        </w:rPr>
        <w:t>lternative method</w:t>
      </w:r>
      <w:r w:rsidRPr="00B862A4">
        <w:rPr>
          <w:rFonts w:ascii="Avenir Book" w:hAnsi="Avenir Book"/>
        </w:rPr>
        <w:t>s</w:t>
      </w:r>
      <w:r w:rsidR="00D256E7" w:rsidRPr="00B862A4">
        <w:rPr>
          <w:rFonts w:ascii="Avenir Book" w:hAnsi="Avenir Book"/>
        </w:rPr>
        <w:t xml:space="preserve"> for assigning attorney casework </w:t>
      </w:r>
      <w:r w:rsidR="00D07881">
        <w:rPr>
          <w:rFonts w:ascii="Avenir Book" w:hAnsi="Avenir Book"/>
        </w:rPr>
        <w:t>are</w:t>
      </w:r>
      <w:r w:rsidR="00D256E7" w:rsidRPr="00B862A4">
        <w:rPr>
          <w:rFonts w:ascii="Avenir Book" w:hAnsi="Avenir Book"/>
        </w:rPr>
        <w:t xml:space="preserve"> by </w:t>
      </w:r>
      <w:r w:rsidRPr="00B862A4">
        <w:rPr>
          <w:rFonts w:ascii="Avenir Book" w:hAnsi="Avenir Book"/>
        </w:rPr>
        <w:t xml:space="preserve">subject </w:t>
      </w:r>
      <w:r w:rsidR="00D256E7" w:rsidRPr="00B862A4">
        <w:rPr>
          <w:rFonts w:ascii="Avenir Book" w:hAnsi="Avenir Book"/>
        </w:rPr>
        <w:t>specialization, which the Office has</w:t>
      </w:r>
      <w:r w:rsidR="006F6CCC" w:rsidRPr="00B862A4">
        <w:rPr>
          <w:rFonts w:ascii="Avenir Book" w:hAnsi="Avenir Book"/>
        </w:rPr>
        <w:t xml:space="preserve"> u</w:t>
      </w:r>
      <w:r w:rsidRPr="00B862A4">
        <w:rPr>
          <w:rFonts w:ascii="Avenir Book" w:hAnsi="Avenir Book"/>
        </w:rPr>
        <w:t>tilized</w:t>
      </w:r>
      <w:r w:rsidR="00D256E7" w:rsidRPr="00B862A4">
        <w:rPr>
          <w:rFonts w:ascii="Avenir Book" w:hAnsi="Avenir Book"/>
        </w:rPr>
        <w:t xml:space="preserve"> in certain circumstances (e.g., drug court</w:t>
      </w:r>
      <w:r w:rsidRPr="00B862A4">
        <w:rPr>
          <w:rFonts w:ascii="Avenir Book" w:hAnsi="Avenir Book"/>
        </w:rPr>
        <w:t xml:space="preserve"> and</w:t>
      </w:r>
      <w:r w:rsidR="00D256E7" w:rsidRPr="00B862A4">
        <w:rPr>
          <w:rFonts w:ascii="Avenir Book" w:hAnsi="Avenir Book"/>
        </w:rPr>
        <w:t xml:space="preserve"> Mental Health)</w:t>
      </w:r>
      <w:r w:rsidRPr="00B862A4">
        <w:rPr>
          <w:rFonts w:ascii="Avenir Book" w:hAnsi="Avenir Book"/>
        </w:rPr>
        <w:t>; seniority</w:t>
      </w:r>
      <w:r w:rsidR="00DD1FA6" w:rsidRPr="00B862A4">
        <w:rPr>
          <w:rFonts w:ascii="Avenir Book" w:hAnsi="Avenir Book"/>
        </w:rPr>
        <w:t xml:space="preserve"> or professional development</w:t>
      </w:r>
      <w:r w:rsidRPr="00B862A4">
        <w:rPr>
          <w:rFonts w:ascii="Avenir Book" w:hAnsi="Avenir Book"/>
        </w:rPr>
        <w:t xml:space="preserve"> (in which cases are assigned </w:t>
      </w:r>
      <w:r w:rsidR="00DD1FA6" w:rsidRPr="00B862A4">
        <w:rPr>
          <w:rFonts w:ascii="Avenir Book" w:hAnsi="Avenir Book"/>
        </w:rPr>
        <w:t>by matching</w:t>
      </w:r>
      <w:r w:rsidRPr="00B862A4">
        <w:rPr>
          <w:rFonts w:ascii="Avenir Book" w:hAnsi="Avenir Book"/>
        </w:rPr>
        <w:t xml:space="preserve"> case complexity</w:t>
      </w:r>
      <w:r w:rsidR="00DD1FA6" w:rsidRPr="00B862A4">
        <w:rPr>
          <w:rFonts w:ascii="Avenir Book" w:hAnsi="Avenir Book"/>
        </w:rPr>
        <w:t xml:space="preserve"> with </w:t>
      </w:r>
      <w:r w:rsidRPr="00B862A4">
        <w:rPr>
          <w:rFonts w:ascii="Avenir Book" w:hAnsi="Avenir Book"/>
        </w:rPr>
        <w:t>attorney experience</w:t>
      </w:r>
      <w:r w:rsidR="00DD1FA6" w:rsidRPr="00B862A4">
        <w:rPr>
          <w:rFonts w:ascii="Avenir Book" w:hAnsi="Avenir Book"/>
        </w:rPr>
        <w:t xml:space="preserve"> or needs for attorney’s professional development</w:t>
      </w:r>
      <w:r w:rsidRPr="00B862A4">
        <w:rPr>
          <w:rFonts w:ascii="Avenir Book" w:hAnsi="Avenir Book"/>
        </w:rPr>
        <w:t xml:space="preserve">); </w:t>
      </w:r>
      <w:r w:rsidR="00DD1FA6" w:rsidRPr="00B862A4">
        <w:rPr>
          <w:rFonts w:ascii="Avenir Book" w:hAnsi="Avenir Book"/>
        </w:rPr>
        <w:t>or some combination of these approaches.</w:t>
      </w:r>
      <w:bookmarkStart w:id="27" w:name="_Toc62730382"/>
    </w:p>
    <w:p w14:paraId="0BE8107F" w14:textId="77777777" w:rsidR="00B862A4" w:rsidRPr="00B862A4" w:rsidRDefault="00B862A4" w:rsidP="00B862A4">
      <w:pPr>
        <w:spacing w:line="360" w:lineRule="auto"/>
        <w:ind w:firstLine="720"/>
        <w:jc w:val="both"/>
        <w:rPr>
          <w:rFonts w:ascii="Avenir Book" w:hAnsi="Avenir Book"/>
        </w:rPr>
      </w:pPr>
    </w:p>
    <w:p w14:paraId="17D72A99" w14:textId="4EAFAB03" w:rsidR="0071410C" w:rsidRPr="00533702" w:rsidRDefault="0071410C" w:rsidP="00533702">
      <w:pPr>
        <w:pStyle w:val="Head3"/>
      </w:pPr>
      <w:r w:rsidRPr="00533702">
        <w:t>Conclusion</w:t>
      </w:r>
      <w:bookmarkEnd w:id="27"/>
    </w:p>
    <w:p w14:paraId="3489F93D" w14:textId="6435CE96" w:rsidR="0033227F" w:rsidRDefault="0033227F" w:rsidP="00B862A4">
      <w:pPr>
        <w:spacing w:line="360" w:lineRule="auto"/>
        <w:ind w:firstLine="720"/>
        <w:jc w:val="both"/>
        <w:rPr>
          <w:rFonts w:ascii="Avenir Book" w:hAnsi="Avenir Book"/>
          <w:color w:val="000000"/>
        </w:rPr>
      </w:pPr>
      <w:r w:rsidRPr="00B862A4">
        <w:rPr>
          <w:rFonts w:ascii="Avenir Book" w:hAnsi="Avenir Book"/>
        </w:rPr>
        <w:t>Independence is the primary principle needed for public defense systems to fulfill their ethically and constitutionally mandated duties.</w:t>
      </w:r>
      <w:r w:rsidRPr="00B862A4">
        <w:rPr>
          <w:rFonts w:ascii="Avenir Book" w:hAnsi="Avenir Book"/>
          <w:vertAlign w:val="superscript"/>
        </w:rPr>
        <w:endnoteReference w:id="163"/>
      </w:r>
      <w:r w:rsidRPr="00B862A4">
        <w:rPr>
          <w:rFonts w:ascii="Avenir Book" w:hAnsi="Avenir Book"/>
        </w:rPr>
        <w:t xml:space="preserve"> The United States Supreme Court, the ABA, and NAPD have all acknowledged that public defense systems cannot meet their legal and ethical obligations unless they are sufficiently independent from outside influences. In order to comply with the mandated standard of independence required of their public defense system, Montgomery County must implement some form of safeguards to protect the independence of its public defenders.</w:t>
      </w:r>
      <w:r w:rsidRPr="00B862A4">
        <w:rPr>
          <w:rFonts w:ascii="Avenir Book" w:hAnsi="Avenir Book"/>
          <w:color w:val="000000"/>
        </w:rPr>
        <w:t xml:space="preserve"> </w:t>
      </w:r>
      <w:r w:rsidR="00CC7717" w:rsidRPr="00B862A4">
        <w:rPr>
          <w:rFonts w:ascii="Avenir Book" w:hAnsi="Avenir Book"/>
          <w:color w:val="000000"/>
        </w:rPr>
        <w:t xml:space="preserve">These can include external safeguards, in the form of an independent oversight board, and internal safeguards, in the form of </w:t>
      </w:r>
      <w:r w:rsidR="00D07881">
        <w:rPr>
          <w:rFonts w:ascii="Avenir Book" w:hAnsi="Avenir Book"/>
          <w:color w:val="000000"/>
        </w:rPr>
        <w:t>dedicated H</w:t>
      </w:r>
      <w:r w:rsidR="00CC7717" w:rsidRPr="00B862A4">
        <w:rPr>
          <w:rFonts w:ascii="Avenir Book" w:hAnsi="Avenir Book"/>
          <w:color w:val="000000"/>
        </w:rPr>
        <w:t xml:space="preserve">uman </w:t>
      </w:r>
      <w:r w:rsidR="00D07881">
        <w:rPr>
          <w:rFonts w:ascii="Avenir Book" w:hAnsi="Avenir Book"/>
          <w:color w:val="000000"/>
        </w:rPr>
        <w:t>R</w:t>
      </w:r>
      <w:r w:rsidR="00CC7717" w:rsidRPr="00B862A4">
        <w:rPr>
          <w:rFonts w:ascii="Avenir Book" w:hAnsi="Avenir Book"/>
          <w:color w:val="000000"/>
        </w:rPr>
        <w:t>esources and a reassessment of the case assignment system.</w:t>
      </w:r>
    </w:p>
    <w:p w14:paraId="083E364B" w14:textId="77777777" w:rsidR="00533702" w:rsidRPr="00B862A4" w:rsidRDefault="00533702" w:rsidP="00B862A4">
      <w:pPr>
        <w:spacing w:line="360" w:lineRule="auto"/>
        <w:ind w:firstLine="720"/>
        <w:jc w:val="both"/>
        <w:rPr>
          <w:rFonts w:ascii="Avenir Book" w:hAnsi="Avenir Book"/>
        </w:rPr>
      </w:pPr>
    </w:p>
    <w:p w14:paraId="1755564A" w14:textId="649F419B" w:rsidR="005A0489" w:rsidRDefault="005A0489">
      <w:pPr>
        <w:spacing w:after="160" w:line="259" w:lineRule="auto"/>
      </w:pPr>
      <w:r>
        <w:br w:type="page"/>
      </w:r>
    </w:p>
    <w:p w14:paraId="7A9ABC2A" w14:textId="1814E301" w:rsidR="000F6C1C" w:rsidRDefault="000F6C1C" w:rsidP="001161E1">
      <w:pPr>
        <w:pStyle w:val="HEAD2"/>
      </w:pPr>
      <w:bookmarkStart w:id="28" w:name="_Toc62730383"/>
      <w:r>
        <w:lastRenderedPageBreak/>
        <w:t>FUNDING</w:t>
      </w:r>
      <w:r w:rsidR="0006744C">
        <w:t xml:space="preserve"> CONSIDERATIONS</w:t>
      </w:r>
      <w:bookmarkEnd w:id="28"/>
    </w:p>
    <w:p w14:paraId="1D318A33" w14:textId="724401E8" w:rsidR="000F6C1C" w:rsidRPr="00533702" w:rsidRDefault="000F6C1C" w:rsidP="00533702">
      <w:pPr>
        <w:spacing w:line="360" w:lineRule="auto"/>
        <w:ind w:firstLine="720"/>
        <w:jc w:val="both"/>
        <w:rPr>
          <w:rFonts w:ascii="Avenir Book" w:hAnsi="Avenir Book"/>
          <w:color w:val="000000"/>
        </w:rPr>
      </w:pPr>
      <w:r w:rsidRPr="00533702">
        <w:rPr>
          <w:rFonts w:ascii="Avenir Book" w:hAnsi="Avenir Book"/>
          <w:color w:val="000000"/>
        </w:rPr>
        <w:t xml:space="preserve">Funding is among the most important considerations for states seeking to fulfill their constitutional responsibility for indigent defense services, at least in part because it is a threshold consideration. </w:t>
      </w:r>
      <w:r w:rsidR="003A2A61" w:rsidRPr="00533702">
        <w:rPr>
          <w:rFonts w:ascii="Avenir Book" w:hAnsi="Avenir Book"/>
          <w:color w:val="000000"/>
        </w:rPr>
        <w:t>Effective assistance of counsel requires “significant and reliable financial resources.”</w:t>
      </w:r>
      <w:r w:rsidR="003A2A61" w:rsidRPr="00533702">
        <w:rPr>
          <w:rFonts w:ascii="Avenir Book" w:hAnsi="Avenir Book"/>
          <w:color w:val="000000"/>
          <w:vertAlign w:val="superscript"/>
        </w:rPr>
        <w:endnoteReference w:id="164"/>
      </w:r>
      <w:r w:rsidR="003A2A61" w:rsidRPr="00533702">
        <w:rPr>
          <w:rFonts w:ascii="Avenir Book" w:hAnsi="Avenir Book"/>
          <w:color w:val="000000"/>
        </w:rPr>
        <w:t xml:space="preserve"> </w:t>
      </w:r>
      <w:r w:rsidRPr="00533702">
        <w:rPr>
          <w:rFonts w:ascii="Avenir Book" w:hAnsi="Avenir Book"/>
          <w:color w:val="000000"/>
        </w:rPr>
        <w:t>Without a baseline of adequate funding, it is close to impossible to provide sufficient coverage of all indigent cases, not to mention effective assistance in those cases. Research confirms this notion, as the “sufficiency of funding” is regarded as one of the primary factors that determine the quality of indigent defense services.</w:t>
      </w:r>
      <w:r w:rsidRPr="00533702">
        <w:rPr>
          <w:rFonts w:ascii="Avenir Book" w:hAnsi="Avenir Book"/>
          <w:color w:val="000000"/>
          <w:vertAlign w:val="superscript"/>
        </w:rPr>
        <w:endnoteReference w:id="165"/>
      </w:r>
      <w:r w:rsidRPr="00533702">
        <w:rPr>
          <w:rFonts w:ascii="Avenir Book" w:hAnsi="Avenir Book"/>
          <w:color w:val="000000"/>
        </w:rPr>
        <w:t xml:space="preserve"> </w:t>
      </w:r>
    </w:p>
    <w:p w14:paraId="108F9295" w14:textId="77777777" w:rsidR="000F6C1C" w:rsidRPr="00533702" w:rsidRDefault="000F6C1C" w:rsidP="00533702">
      <w:pPr>
        <w:spacing w:line="360" w:lineRule="auto"/>
        <w:ind w:firstLine="720"/>
        <w:jc w:val="both"/>
        <w:rPr>
          <w:rFonts w:ascii="Avenir Book" w:hAnsi="Avenir Book"/>
          <w:color w:val="000000"/>
        </w:rPr>
      </w:pPr>
      <w:r w:rsidRPr="00533702">
        <w:rPr>
          <w:rFonts w:ascii="Avenir Book" w:hAnsi="Avenir Book"/>
          <w:color w:val="000000"/>
        </w:rPr>
        <w:t>The AB</w:t>
      </w:r>
      <w:r w:rsidR="00D76C8F" w:rsidRPr="00533702">
        <w:rPr>
          <w:rFonts w:ascii="Avenir Book" w:hAnsi="Avenir Book"/>
          <w:color w:val="000000"/>
        </w:rPr>
        <w:t>A’s</w:t>
      </w:r>
      <w:r w:rsidRPr="00533702">
        <w:rPr>
          <w:rFonts w:ascii="Avenir Book" w:hAnsi="Avenir Book"/>
          <w:i/>
          <w:color w:val="000000"/>
        </w:rPr>
        <w:t xml:space="preserve"> Ten Principles </w:t>
      </w:r>
      <w:r w:rsidRPr="00533702">
        <w:rPr>
          <w:rFonts w:ascii="Avenir Book" w:hAnsi="Avenir Book"/>
          <w:color w:val="000000"/>
        </w:rPr>
        <w:t>identifies funding as a consideration in two places: the First Principle specifically references the funding of the public indigent defense function,</w:t>
      </w:r>
      <w:r w:rsidRPr="00533702">
        <w:rPr>
          <w:rFonts w:ascii="Avenir Book" w:hAnsi="Avenir Book"/>
          <w:color w:val="000000"/>
          <w:vertAlign w:val="superscript"/>
        </w:rPr>
        <w:endnoteReference w:id="166"/>
      </w:r>
      <w:r w:rsidRPr="00533702">
        <w:rPr>
          <w:rFonts w:ascii="Avenir Book" w:hAnsi="Avenir Book"/>
          <w:color w:val="000000"/>
        </w:rPr>
        <w:t xml:space="preserve"> while the Eighth Principle envisions sufficient funding to ensure indigent defense services are an “equal partner in the justice system.”</w:t>
      </w:r>
      <w:r w:rsidRPr="00533702">
        <w:rPr>
          <w:rFonts w:ascii="Avenir Book" w:hAnsi="Avenir Book"/>
          <w:color w:val="000000"/>
          <w:vertAlign w:val="superscript"/>
        </w:rPr>
        <w:endnoteReference w:id="167"/>
      </w:r>
      <w:r w:rsidRPr="00533702">
        <w:rPr>
          <w:rFonts w:ascii="Avenir Book" w:hAnsi="Avenir Book"/>
          <w:color w:val="000000"/>
        </w:rPr>
        <w:t xml:space="preserve"> The NAPD similarly identifies funding as a consideration in two ways: the organization’s Fourth Foundational Principle declares the duty to fund the </w:t>
      </w:r>
      <w:r w:rsidRPr="00533702">
        <w:rPr>
          <w:rFonts w:ascii="Avenir Book" w:hAnsi="Avenir Book"/>
        </w:rPr>
        <w:t>criminal legal system</w:t>
      </w:r>
      <w:r w:rsidRPr="00533702">
        <w:rPr>
          <w:rFonts w:ascii="Avenir Book" w:hAnsi="Avenir Book"/>
          <w:color w:val="000000"/>
        </w:rPr>
        <w:t xml:space="preserve"> to be a “fundamental governmental obligation,”</w:t>
      </w:r>
      <w:r w:rsidRPr="00533702">
        <w:rPr>
          <w:rFonts w:ascii="Avenir Book" w:hAnsi="Avenir Book"/>
          <w:color w:val="000000"/>
          <w:vertAlign w:val="superscript"/>
        </w:rPr>
        <w:endnoteReference w:id="168"/>
      </w:r>
      <w:r w:rsidRPr="00533702">
        <w:rPr>
          <w:rFonts w:ascii="Avenir Book" w:hAnsi="Avenir Book"/>
          <w:color w:val="000000"/>
        </w:rPr>
        <w:t xml:space="preserve"> and the Eleventh Foundation</w:t>
      </w:r>
      <w:r w:rsidRPr="00533702">
        <w:rPr>
          <w:rFonts w:ascii="Avenir Book" w:hAnsi="Avenir Book"/>
        </w:rPr>
        <w:t xml:space="preserve">al </w:t>
      </w:r>
      <w:r w:rsidRPr="00533702">
        <w:rPr>
          <w:rFonts w:ascii="Avenir Book" w:hAnsi="Avenir Book"/>
          <w:color w:val="000000"/>
        </w:rPr>
        <w:t>Principle deems adequate funding and proper resources to be essential for indigent defense providers.</w:t>
      </w:r>
      <w:r w:rsidRPr="00533702">
        <w:rPr>
          <w:rFonts w:ascii="Avenir Book" w:hAnsi="Avenir Book"/>
          <w:color w:val="000000"/>
          <w:vertAlign w:val="superscript"/>
        </w:rPr>
        <w:endnoteReference w:id="169"/>
      </w:r>
      <w:r w:rsidRPr="00533702">
        <w:rPr>
          <w:rFonts w:ascii="Avenir Book" w:hAnsi="Avenir Book"/>
          <w:color w:val="000000"/>
        </w:rPr>
        <w:t xml:space="preserve"> </w:t>
      </w:r>
    </w:p>
    <w:p w14:paraId="6EF71F9D" w14:textId="58117D0B" w:rsidR="000F6C1C" w:rsidRPr="00533702" w:rsidRDefault="000F6C1C" w:rsidP="00533702">
      <w:pPr>
        <w:spacing w:line="360" w:lineRule="auto"/>
        <w:ind w:firstLine="720"/>
        <w:jc w:val="both"/>
        <w:rPr>
          <w:rFonts w:ascii="Avenir Book" w:hAnsi="Avenir Book"/>
          <w:color w:val="000000"/>
        </w:rPr>
      </w:pPr>
      <w:r w:rsidRPr="00533702">
        <w:rPr>
          <w:rFonts w:ascii="Avenir Book" w:hAnsi="Avenir Book"/>
          <w:color w:val="000000"/>
        </w:rPr>
        <w:t>Inadequate funding is considered the “greatest factor adversely affecting quality of representation.”</w:t>
      </w:r>
      <w:r w:rsidRPr="00533702">
        <w:rPr>
          <w:rFonts w:ascii="Avenir Book" w:hAnsi="Avenir Book"/>
          <w:color w:val="000000"/>
          <w:vertAlign w:val="superscript"/>
        </w:rPr>
        <w:endnoteReference w:id="170"/>
      </w:r>
      <w:r w:rsidRPr="00533702">
        <w:rPr>
          <w:rFonts w:ascii="Avenir Book" w:hAnsi="Avenir Book"/>
          <w:color w:val="000000"/>
        </w:rPr>
        <w:t xml:space="preserve"> Many of the problems experienced by indigent defense services can be traced back to inadequate funding. Without sufficient funding, indigent defense services cannot hire enough attorneys to represent indigent defendants.</w:t>
      </w:r>
      <w:r w:rsidRPr="00533702">
        <w:rPr>
          <w:rFonts w:ascii="Avenir Book" w:hAnsi="Avenir Book"/>
          <w:color w:val="000000"/>
          <w:vertAlign w:val="superscript"/>
        </w:rPr>
        <w:endnoteReference w:id="171"/>
      </w:r>
      <w:r w:rsidRPr="00533702">
        <w:rPr>
          <w:rFonts w:ascii="Avenir Book" w:hAnsi="Avenir Book"/>
          <w:color w:val="000000"/>
        </w:rPr>
        <w:t xml:space="preserve"> Those attorneys who are hired may be undercompensated for their services, and overburdened by excessive caseloads.</w:t>
      </w:r>
      <w:r w:rsidRPr="00533702">
        <w:rPr>
          <w:rFonts w:ascii="Avenir Book" w:hAnsi="Avenir Book"/>
          <w:color w:val="000000"/>
          <w:vertAlign w:val="superscript"/>
        </w:rPr>
        <w:endnoteReference w:id="172"/>
      </w:r>
      <w:r w:rsidRPr="00533702">
        <w:rPr>
          <w:rFonts w:ascii="Avenir Book" w:hAnsi="Avenir Book"/>
          <w:color w:val="000000"/>
        </w:rPr>
        <w:t xml:space="preserve"> In turn, the efficacy of the representation of indigent defendants could be affected, putting pressure on those attorneys to engage in “hurried plea bargains and rushed trials” for their clients.</w:t>
      </w:r>
      <w:r w:rsidRPr="00533702">
        <w:rPr>
          <w:rFonts w:ascii="Avenir Book" w:hAnsi="Avenir Book"/>
          <w:color w:val="000000"/>
          <w:vertAlign w:val="superscript"/>
        </w:rPr>
        <w:endnoteReference w:id="173"/>
      </w:r>
      <w:r w:rsidRPr="00533702">
        <w:rPr>
          <w:rFonts w:ascii="Avenir Book" w:hAnsi="Avenir Book"/>
          <w:color w:val="000000"/>
        </w:rPr>
        <w:t xml:space="preserve"> These are just a few examples of how underfunding can result in a diminished provision of services for indigent defendants.</w:t>
      </w:r>
      <w:r w:rsidRPr="00533702">
        <w:rPr>
          <w:rFonts w:ascii="Avenir Book" w:hAnsi="Avenir Book"/>
          <w:color w:val="000000"/>
          <w:vertAlign w:val="superscript"/>
        </w:rPr>
        <w:endnoteReference w:id="174"/>
      </w:r>
      <w:r w:rsidRPr="00533702">
        <w:rPr>
          <w:rFonts w:ascii="Avenir Book" w:hAnsi="Avenir Book"/>
          <w:color w:val="000000"/>
        </w:rPr>
        <w:t xml:space="preserve"> </w:t>
      </w:r>
    </w:p>
    <w:p w14:paraId="14E52834" w14:textId="3384261C" w:rsidR="000F6C1C" w:rsidRDefault="000F6C1C" w:rsidP="00533702">
      <w:pPr>
        <w:spacing w:line="360" w:lineRule="auto"/>
        <w:ind w:firstLine="720"/>
        <w:jc w:val="both"/>
        <w:rPr>
          <w:rFonts w:ascii="Avenir Book" w:hAnsi="Avenir Book"/>
        </w:rPr>
      </w:pPr>
      <w:r w:rsidRPr="00533702">
        <w:rPr>
          <w:rFonts w:ascii="Avenir Book" w:hAnsi="Avenir Book"/>
          <w:color w:val="000000"/>
        </w:rPr>
        <w:lastRenderedPageBreak/>
        <w:t xml:space="preserve">This section will </w:t>
      </w:r>
      <w:r w:rsidR="00A06D6F" w:rsidRPr="00533702">
        <w:rPr>
          <w:rFonts w:ascii="Avenir Book" w:hAnsi="Avenir Book"/>
          <w:color w:val="000000"/>
        </w:rPr>
        <w:t>briefly discuss</w:t>
      </w:r>
      <w:r w:rsidRPr="00533702">
        <w:rPr>
          <w:rFonts w:ascii="Avenir Book" w:hAnsi="Avenir Book"/>
          <w:color w:val="000000"/>
        </w:rPr>
        <w:t xml:space="preserve"> types of </w:t>
      </w:r>
      <w:r w:rsidR="00A06D6F" w:rsidRPr="00533702">
        <w:rPr>
          <w:rFonts w:ascii="Avenir Book" w:hAnsi="Avenir Book"/>
          <w:color w:val="000000"/>
        </w:rPr>
        <w:t xml:space="preserve">funding models and </w:t>
      </w:r>
      <w:r w:rsidRPr="00533702">
        <w:rPr>
          <w:rFonts w:ascii="Avenir Book" w:hAnsi="Avenir Book"/>
          <w:color w:val="000000"/>
        </w:rPr>
        <w:t>indigent defense systems</w:t>
      </w:r>
      <w:r w:rsidR="00A06D6F" w:rsidRPr="00533702">
        <w:rPr>
          <w:rFonts w:ascii="Avenir Book" w:hAnsi="Avenir Book"/>
          <w:color w:val="000000"/>
        </w:rPr>
        <w:t>, and then offer considerations on funding the Montgomery County Public Defender’s Office</w:t>
      </w:r>
      <w:r w:rsidRPr="00533702">
        <w:rPr>
          <w:rFonts w:ascii="Avenir Book" w:hAnsi="Avenir Book"/>
        </w:rPr>
        <w:t>.</w:t>
      </w:r>
    </w:p>
    <w:p w14:paraId="10B1EBC8" w14:textId="77777777" w:rsidR="00533702" w:rsidRPr="00533702" w:rsidRDefault="00533702" w:rsidP="00533702">
      <w:pPr>
        <w:spacing w:line="360" w:lineRule="auto"/>
        <w:ind w:firstLine="720"/>
        <w:jc w:val="both"/>
      </w:pPr>
    </w:p>
    <w:p w14:paraId="6EC2C722" w14:textId="5369672F" w:rsidR="000F6C1C" w:rsidRDefault="000F6C1C" w:rsidP="00533702">
      <w:pPr>
        <w:pStyle w:val="Head3"/>
      </w:pPr>
      <w:bookmarkStart w:id="29" w:name="_Toc62730384"/>
      <w:r w:rsidRPr="00967258">
        <w:t>Types of Funding Models</w:t>
      </w:r>
      <w:r w:rsidR="00077152" w:rsidRPr="00967258">
        <w:t xml:space="preserve"> and Indigent Defense Systems</w:t>
      </w:r>
      <w:bookmarkEnd w:id="29"/>
    </w:p>
    <w:p w14:paraId="0F9631B0" w14:textId="6048DB03" w:rsidR="000F6C1C" w:rsidRPr="00533702" w:rsidRDefault="00077152" w:rsidP="00533702">
      <w:pPr>
        <w:spacing w:line="360" w:lineRule="auto"/>
        <w:ind w:firstLine="720"/>
        <w:jc w:val="both"/>
        <w:rPr>
          <w:rFonts w:ascii="Avenir Book" w:hAnsi="Avenir Book"/>
          <w:color w:val="000000"/>
        </w:rPr>
      </w:pPr>
      <w:r w:rsidRPr="00533702">
        <w:rPr>
          <w:rFonts w:ascii="Avenir Book" w:hAnsi="Avenir Book"/>
          <w:iCs/>
          <w:color w:val="000000"/>
        </w:rPr>
        <w:t>The</w:t>
      </w:r>
      <w:r w:rsidR="000F6C1C" w:rsidRPr="00533702">
        <w:rPr>
          <w:rFonts w:ascii="Avenir Book" w:hAnsi="Avenir Book"/>
          <w:color w:val="000000"/>
        </w:rPr>
        <w:t xml:space="preserve"> methods that have been utilized by states to fund their indigent defense services can be classified into three distinct funding models: the statewide </w:t>
      </w:r>
      <w:r w:rsidR="00907714" w:rsidRPr="00533702">
        <w:rPr>
          <w:rFonts w:ascii="Avenir Book" w:hAnsi="Avenir Book"/>
          <w:color w:val="000000"/>
        </w:rPr>
        <w:t xml:space="preserve">funding </w:t>
      </w:r>
      <w:r w:rsidR="000F6C1C" w:rsidRPr="00533702">
        <w:rPr>
          <w:rFonts w:ascii="Avenir Book" w:hAnsi="Avenir Book"/>
          <w:color w:val="000000"/>
        </w:rPr>
        <w:t xml:space="preserve">model, the county </w:t>
      </w:r>
      <w:r w:rsidR="00907714" w:rsidRPr="00533702">
        <w:rPr>
          <w:rFonts w:ascii="Avenir Book" w:hAnsi="Avenir Book"/>
          <w:color w:val="000000"/>
        </w:rPr>
        <w:t xml:space="preserve">funding </w:t>
      </w:r>
      <w:r w:rsidR="000F6C1C" w:rsidRPr="00533702">
        <w:rPr>
          <w:rFonts w:ascii="Avenir Book" w:hAnsi="Avenir Book"/>
          <w:color w:val="000000"/>
        </w:rPr>
        <w:t>model, and the hybrid model.</w:t>
      </w:r>
      <w:r w:rsidRPr="00533702">
        <w:rPr>
          <w:rFonts w:ascii="Avenir Book" w:hAnsi="Avenir Book"/>
          <w:color w:val="000000"/>
        </w:rPr>
        <w:t xml:space="preserve"> In the statewide funding model, states assume all responsibility for the operation of their public defense systems.</w:t>
      </w:r>
      <w:r w:rsidRPr="00533702">
        <w:rPr>
          <w:rFonts w:ascii="Avenir Book" w:hAnsi="Avenir Book"/>
          <w:color w:val="000000"/>
          <w:vertAlign w:val="superscript"/>
        </w:rPr>
        <w:endnoteReference w:id="175"/>
      </w:r>
      <w:r w:rsidRPr="00533702">
        <w:rPr>
          <w:rFonts w:ascii="Avenir Book" w:hAnsi="Avenir Book"/>
          <w:color w:val="000000"/>
        </w:rPr>
        <w:t xml:space="preserve"> In the county funding model, counties or similarly structured local governments assume complete responsibility for the costs for operating their public defense systems.</w:t>
      </w:r>
      <w:r w:rsidRPr="00533702">
        <w:rPr>
          <w:rFonts w:ascii="Avenir Book" w:hAnsi="Avenir Book"/>
          <w:color w:val="000000"/>
          <w:vertAlign w:val="superscript"/>
        </w:rPr>
        <w:endnoteReference w:id="176"/>
      </w:r>
      <w:r w:rsidRPr="00533702">
        <w:rPr>
          <w:rFonts w:ascii="Avenir Book" w:hAnsi="Avenir Book"/>
          <w:color w:val="000000"/>
        </w:rPr>
        <w:t xml:space="preserve"> In the </w:t>
      </w:r>
      <w:r w:rsidRPr="00533702">
        <w:rPr>
          <w:rFonts w:ascii="Avenir Book" w:hAnsi="Avenir Book"/>
          <w:iCs/>
          <w:color w:val="000000"/>
        </w:rPr>
        <w:t>hybrid funding model</w:t>
      </w:r>
      <w:r w:rsidRPr="00533702">
        <w:rPr>
          <w:rFonts w:ascii="Avenir Book" w:hAnsi="Avenir Book"/>
          <w:color w:val="000000"/>
        </w:rPr>
        <w:t>, states and counties share the costs for operating public defense systems.</w:t>
      </w:r>
      <w:r w:rsidRPr="00533702">
        <w:rPr>
          <w:rFonts w:ascii="Avenir Book" w:hAnsi="Avenir Book"/>
          <w:color w:val="000000"/>
          <w:vertAlign w:val="superscript"/>
        </w:rPr>
        <w:endnoteReference w:id="177"/>
      </w:r>
      <w:r w:rsidRPr="00533702">
        <w:rPr>
          <w:rFonts w:ascii="Avenir Book" w:hAnsi="Avenir Book"/>
          <w:color w:val="000000"/>
        </w:rPr>
        <w:t xml:space="preserve">  Pennsylvania is one of just three states that relies entirely on local governments to fund indigent defense.</w:t>
      </w:r>
      <w:r w:rsidRPr="00533702">
        <w:rPr>
          <w:rFonts w:ascii="Avenir Book" w:hAnsi="Avenir Book"/>
          <w:color w:val="000000"/>
          <w:vertAlign w:val="superscript"/>
        </w:rPr>
        <w:endnoteReference w:id="178"/>
      </w:r>
    </w:p>
    <w:p w14:paraId="13C1375C" w14:textId="5E8E8818" w:rsidR="000F6C1C" w:rsidRPr="00533702" w:rsidRDefault="000F6C1C" w:rsidP="00533702">
      <w:pPr>
        <w:spacing w:line="360" w:lineRule="auto"/>
        <w:ind w:firstLine="720"/>
        <w:jc w:val="both"/>
        <w:rPr>
          <w:rFonts w:ascii="Avenir Book" w:hAnsi="Avenir Book"/>
        </w:rPr>
      </w:pPr>
      <w:r w:rsidRPr="00533702">
        <w:rPr>
          <w:rFonts w:ascii="Avenir Book" w:hAnsi="Avenir Book"/>
          <w:color w:val="000000"/>
        </w:rPr>
        <w:t>This</w:t>
      </w:r>
      <w:r w:rsidR="00077152" w:rsidRPr="00533702">
        <w:rPr>
          <w:rFonts w:ascii="Avenir Book" w:hAnsi="Avenir Book"/>
          <w:color w:val="000000"/>
        </w:rPr>
        <w:t xml:space="preserve"> county</w:t>
      </w:r>
      <w:r w:rsidRPr="00533702">
        <w:rPr>
          <w:rFonts w:ascii="Avenir Book" w:hAnsi="Avenir Book"/>
          <w:color w:val="000000"/>
        </w:rPr>
        <w:t xml:space="preserve"> funding often originates from local property taxes</w:t>
      </w:r>
      <w:r w:rsidRPr="00533702">
        <w:rPr>
          <w:rFonts w:ascii="Avenir Book" w:hAnsi="Avenir Book"/>
          <w:color w:val="000000"/>
          <w:vertAlign w:val="superscript"/>
        </w:rPr>
        <w:endnoteReference w:id="179"/>
      </w:r>
      <w:r w:rsidRPr="00533702">
        <w:rPr>
          <w:rFonts w:ascii="Avenir Book" w:hAnsi="Avenir Book"/>
          <w:color w:val="000000"/>
        </w:rPr>
        <w:t xml:space="preserve"> and local fines, both of which may “ebb and flow” at different times throughout the year and in diverse economic environments.</w:t>
      </w:r>
      <w:r w:rsidRPr="00533702">
        <w:rPr>
          <w:rFonts w:ascii="Avenir Book" w:hAnsi="Avenir Book"/>
          <w:color w:val="000000"/>
          <w:vertAlign w:val="superscript"/>
        </w:rPr>
        <w:endnoteReference w:id="180"/>
      </w:r>
      <w:r w:rsidRPr="00533702">
        <w:rPr>
          <w:rFonts w:ascii="Avenir Book" w:hAnsi="Avenir Book"/>
          <w:color w:val="000000"/>
        </w:rPr>
        <w:t xml:space="preserve"> The availability of financial resources can differ greatly from county to county, making states </w:t>
      </w:r>
      <w:r w:rsidR="0092504A" w:rsidRPr="00533702">
        <w:rPr>
          <w:rFonts w:ascii="Avenir Book" w:hAnsi="Avenir Book"/>
          <w:color w:val="000000"/>
        </w:rPr>
        <w:t>that</w:t>
      </w:r>
      <w:r w:rsidRPr="00533702">
        <w:rPr>
          <w:rFonts w:ascii="Avenir Book" w:hAnsi="Avenir Book"/>
          <w:color w:val="000000"/>
        </w:rPr>
        <w:t xml:space="preserve"> utilize the county </w:t>
      </w:r>
      <w:r w:rsidR="00B2393E" w:rsidRPr="00533702">
        <w:rPr>
          <w:rFonts w:ascii="Avenir Book" w:hAnsi="Avenir Book"/>
          <w:color w:val="000000"/>
        </w:rPr>
        <w:t xml:space="preserve">funding </w:t>
      </w:r>
      <w:r w:rsidRPr="00533702">
        <w:rPr>
          <w:rFonts w:ascii="Avenir Book" w:hAnsi="Avenir Book"/>
          <w:color w:val="000000"/>
        </w:rPr>
        <w:t>model highly susceptible to inconsistencies in funding levels.</w:t>
      </w:r>
      <w:r w:rsidRPr="00533702">
        <w:rPr>
          <w:rFonts w:ascii="Avenir Book" w:hAnsi="Avenir Book"/>
          <w:color w:val="000000"/>
          <w:vertAlign w:val="superscript"/>
        </w:rPr>
        <w:endnoteReference w:id="181"/>
      </w:r>
      <w:r w:rsidRPr="00533702">
        <w:rPr>
          <w:rFonts w:ascii="Avenir Book" w:hAnsi="Avenir Book"/>
          <w:color w:val="000000"/>
        </w:rPr>
        <w:t xml:space="preserve"> These inconsistencies in funding levels can potentially cause a disparity in the quality of representation for indigent defendants.</w:t>
      </w:r>
      <w:r w:rsidRPr="00533702">
        <w:rPr>
          <w:rFonts w:ascii="Avenir Book" w:hAnsi="Avenir Book"/>
          <w:color w:val="000000"/>
          <w:vertAlign w:val="superscript"/>
        </w:rPr>
        <w:endnoteReference w:id="182"/>
      </w:r>
    </w:p>
    <w:p w14:paraId="297236D0" w14:textId="64137448" w:rsidR="000F6C1C" w:rsidRPr="00533702" w:rsidRDefault="000F6C1C" w:rsidP="00533702">
      <w:pPr>
        <w:spacing w:line="360" w:lineRule="auto"/>
        <w:ind w:firstLine="720"/>
        <w:jc w:val="both"/>
        <w:rPr>
          <w:rFonts w:ascii="Avenir Book" w:hAnsi="Avenir Book"/>
          <w:color w:val="000000"/>
        </w:rPr>
      </w:pPr>
      <w:r w:rsidRPr="00533702">
        <w:rPr>
          <w:rFonts w:ascii="Avenir Book" w:hAnsi="Avenir Book"/>
          <w:color w:val="000000"/>
        </w:rPr>
        <w:t>Funding is typically the primary factor for determining what type of indigent defense system a state or local government chooses to adopt.</w:t>
      </w:r>
      <w:r w:rsidRPr="00533702">
        <w:rPr>
          <w:rFonts w:ascii="Avenir Book" w:hAnsi="Avenir Book"/>
          <w:color w:val="000000"/>
          <w:vertAlign w:val="superscript"/>
        </w:rPr>
        <w:endnoteReference w:id="183"/>
      </w:r>
      <w:r w:rsidRPr="00533702">
        <w:rPr>
          <w:rFonts w:ascii="Avenir Book" w:hAnsi="Avenir Book"/>
          <w:color w:val="000000"/>
        </w:rPr>
        <w:t xml:space="preserve"> Today, there are three types of indigent defense systems that states employ: the assigned counsel model, the contract attorney model, and the public defender model.</w:t>
      </w:r>
      <w:r w:rsidRPr="00533702">
        <w:rPr>
          <w:rFonts w:ascii="Avenir Book" w:hAnsi="Avenir Book"/>
          <w:color w:val="000000"/>
          <w:vertAlign w:val="superscript"/>
        </w:rPr>
        <w:endnoteReference w:id="184"/>
      </w:r>
      <w:r w:rsidRPr="00533702">
        <w:rPr>
          <w:rFonts w:ascii="Avenir Book" w:hAnsi="Avenir Book"/>
          <w:color w:val="000000"/>
        </w:rPr>
        <w:t xml:space="preserve"> </w:t>
      </w:r>
      <w:r w:rsidR="00077152" w:rsidRPr="00533702">
        <w:rPr>
          <w:rFonts w:ascii="Avenir Book" w:hAnsi="Avenir Book"/>
          <w:color w:val="000000"/>
        </w:rPr>
        <w:t xml:space="preserve"> </w:t>
      </w:r>
      <w:r w:rsidR="00D8673A" w:rsidRPr="00533702">
        <w:rPr>
          <w:rFonts w:ascii="Avenir Book" w:hAnsi="Avenir Book"/>
          <w:color w:val="000000"/>
        </w:rPr>
        <w:t>Pennsylv</w:t>
      </w:r>
      <w:r w:rsidR="0023490F" w:rsidRPr="00533702">
        <w:rPr>
          <w:rFonts w:ascii="Avenir Book" w:hAnsi="Avenir Book"/>
          <w:color w:val="000000"/>
        </w:rPr>
        <w:t>a</w:t>
      </w:r>
      <w:r w:rsidR="00D8673A" w:rsidRPr="00533702">
        <w:rPr>
          <w:rFonts w:ascii="Avenir Book" w:hAnsi="Avenir Book"/>
          <w:color w:val="000000"/>
        </w:rPr>
        <w:t>nia, of course, uses the public defender model.</w:t>
      </w:r>
    </w:p>
    <w:p w14:paraId="251E34BD" w14:textId="77777777" w:rsidR="000F6C1C" w:rsidRPr="00533702" w:rsidRDefault="000F6C1C" w:rsidP="00533702">
      <w:pPr>
        <w:spacing w:line="360" w:lineRule="auto"/>
        <w:ind w:firstLine="720"/>
        <w:jc w:val="both"/>
        <w:rPr>
          <w:rFonts w:ascii="Avenir Book" w:hAnsi="Avenir Book"/>
          <w:color w:val="000000"/>
        </w:rPr>
      </w:pPr>
      <w:r w:rsidRPr="00533702">
        <w:rPr>
          <w:rFonts w:ascii="Avenir Book" w:hAnsi="Avenir Book"/>
          <w:color w:val="000000"/>
        </w:rPr>
        <w:lastRenderedPageBreak/>
        <w:t xml:space="preserve">National studies generally report outcomes for indigent clients represented through a public defender system that are as </w:t>
      </w:r>
      <w:r w:rsidRPr="00533702">
        <w:rPr>
          <w:rFonts w:ascii="Avenir Book" w:hAnsi="Avenir Book"/>
        </w:rPr>
        <w:t>favorable</w:t>
      </w:r>
      <w:r w:rsidR="003528F8" w:rsidRPr="00533702">
        <w:rPr>
          <w:rFonts w:ascii="Avenir Book" w:hAnsi="Avenir Book"/>
        </w:rPr>
        <w:t>, or more favorable,</w:t>
      </w:r>
      <w:r w:rsidR="003528F8" w:rsidRPr="00533702">
        <w:rPr>
          <w:rFonts w:ascii="Avenir Book" w:hAnsi="Avenir Book"/>
          <w:color w:val="000000"/>
        </w:rPr>
        <w:t xml:space="preserve"> than</w:t>
      </w:r>
      <w:r w:rsidRPr="00533702">
        <w:rPr>
          <w:rFonts w:ascii="Avenir Book" w:hAnsi="Avenir Book"/>
          <w:color w:val="000000"/>
        </w:rPr>
        <w:t xml:space="preserve"> retaining private counsel.</w:t>
      </w:r>
      <w:r w:rsidRPr="00533702">
        <w:rPr>
          <w:rFonts w:ascii="Avenir Book" w:hAnsi="Avenir Book"/>
          <w:color w:val="000000"/>
          <w:vertAlign w:val="superscript"/>
        </w:rPr>
        <w:endnoteReference w:id="185"/>
      </w:r>
      <w:r w:rsidRPr="00533702">
        <w:rPr>
          <w:rFonts w:ascii="Avenir Book" w:hAnsi="Avenir Book"/>
          <w:color w:val="000000"/>
        </w:rPr>
        <w:t xml:space="preserve"> With adequate funding and staffing, public defender systems can devote all their efforts to legal representation for indigent defendants, thereby developing “unusual expertise in handling various kinds of criminal cases.”</w:t>
      </w:r>
      <w:r w:rsidRPr="00533702">
        <w:rPr>
          <w:rFonts w:ascii="Avenir Book" w:hAnsi="Avenir Book"/>
          <w:color w:val="000000"/>
          <w:vertAlign w:val="superscript"/>
        </w:rPr>
        <w:endnoteReference w:id="186"/>
      </w:r>
      <w:r w:rsidRPr="00533702">
        <w:rPr>
          <w:rFonts w:ascii="Avenir Book" w:hAnsi="Avenir Book"/>
          <w:color w:val="000000"/>
        </w:rPr>
        <w:t xml:space="preserve"> Public defender systems are generally thought “to be more cost-effective [than competing systems], to improve the reliability of indigent defense services, and to create an institutional resource that is valuable to the bench, the bar, county officials, and the community.”</w:t>
      </w:r>
      <w:r w:rsidRPr="00533702">
        <w:rPr>
          <w:rFonts w:ascii="Avenir Book" w:hAnsi="Avenir Book"/>
          <w:color w:val="000000"/>
          <w:vertAlign w:val="superscript"/>
        </w:rPr>
        <w:endnoteReference w:id="187"/>
      </w:r>
    </w:p>
    <w:p w14:paraId="13C3B218" w14:textId="32F4B67C" w:rsidR="000F6C1C" w:rsidRPr="00533702" w:rsidRDefault="000F6C1C" w:rsidP="00533702">
      <w:pPr>
        <w:spacing w:line="360" w:lineRule="auto"/>
        <w:ind w:firstLine="720"/>
        <w:jc w:val="both"/>
        <w:rPr>
          <w:rFonts w:ascii="Avenir Book" w:hAnsi="Avenir Book"/>
        </w:rPr>
      </w:pPr>
      <w:r w:rsidRPr="00533702">
        <w:rPr>
          <w:rFonts w:ascii="Avenir Book" w:hAnsi="Avenir Book"/>
          <w:color w:val="000000"/>
        </w:rPr>
        <w:t>Although public defender systems tend to require more funding up</w:t>
      </w:r>
      <w:r w:rsidR="009916E4" w:rsidRPr="00533702">
        <w:rPr>
          <w:rFonts w:ascii="Avenir Book" w:hAnsi="Avenir Book"/>
          <w:color w:val="000000"/>
        </w:rPr>
        <w:t xml:space="preserve"> </w:t>
      </w:r>
      <w:r w:rsidRPr="00533702">
        <w:rPr>
          <w:rFonts w:ascii="Avenir Book" w:hAnsi="Avenir Book"/>
          <w:color w:val="000000"/>
        </w:rPr>
        <w:t>front, they may ultimately lower costs by sharing expenses and pooling resources.</w:t>
      </w:r>
      <w:r w:rsidRPr="00533702">
        <w:rPr>
          <w:rFonts w:ascii="Avenir Book" w:hAnsi="Avenir Book"/>
          <w:color w:val="000000"/>
          <w:vertAlign w:val="superscript"/>
        </w:rPr>
        <w:endnoteReference w:id="188"/>
      </w:r>
      <w:r w:rsidRPr="00533702">
        <w:rPr>
          <w:rFonts w:ascii="Avenir Book" w:hAnsi="Avenir Book"/>
          <w:color w:val="000000"/>
        </w:rPr>
        <w:t xml:space="preserve"> The size and structure of public defender systems make them “better able to marshal" resources and ensure that indigent defendants receive “zealous representation.”</w:t>
      </w:r>
      <w:r w:rsidRPr="00533702">
        <w:rPr>
          <w:rFonts w:ascii="Avenir Book" w:hAnsi="Avenir Book"/>
          <w:color w:val="000000"/>
          <w:vertAlign w:val="superscript"/>
        </w:rPr>
        <w:endnoteReference w:id="189"/>
      </w:r>
      <w:r w:rsidRPr="00533702">
        <w:rPr>
          <w:rFonts w:ascii="Avenir Book" w:hAnsi="Avenir Book"/>
          <w:color w:val="000000"/>
        </w:rPr>
        <w:t xml:space="preserve"> </w:t>
      </w:r>
    </w:p>
    <w:p w14:paraId="25CEAE91" w14:textId="68930291" w:rsidR="00657416" w:rsidRDefault="000F6C1C" w:rsidP="00657416">
      <w:pPr>
        <w:spacing w:line="360" w:lineRule="auto"/>
        <w:ind w:firstLine="720"/>
        <w:jc w:val="both"/>
        <w:rPr>
          <w:rFonts w:ascii="Avenir Book" w:hAnsi="Avenir Book"/>
          <w:color w:val="000000"/>
        </w:rPr>
      </w:pPr>
      <w:r w:rsidRPr="00533702">
        <w:rPr>
          <w:rFonts w:ascii="Avenir Book" w:hAnsi="Avenir Book"/>
          <w:color w:val="000000"/>
        </w:rPr>
        <w:t>When a public defender is unable to represent an indigent defendant due to a conflict of interest, courts appoint or contract counsel to represent the defendant.</w:t>
      </w:r>
      <w:r w:rsidRPr="00533702">
        <w:rPr>
          <w:rFonts w:ascii="Avenir Book" w:hAnsi="Avenir Book"/>
          <w:color w:val="000000"/>
          <w:vertAlign w:val="superscript"/>
        </w:rPr>
        <w:endnoteReference w:id="190"/>
      </w:r>
      <w:r w:rsidRPr="00533702">
        <w:rPr>
          <w:rFonts w:ascii="Avenir Book" w:hAnsi="Avenir Book"/>
          <w:color w:val="000000"/>
        </w:rPr>
        <w:t xml:space="preserve"> Conflicts of interest most commonly occur when a case involves codefendants who require separate representation or when a victim or witness is a former or current client of the public defender representing the accused.</w:t>
      </w:r>
      <w:r w:rsidRPr="00533702">
        <w:rPr>
          <w:rFonts w:ascii="Avenir Book" w:hAnsi="Avenir Book"/>
          <w:color w:val="000000"/>
          <w:vertAlign w:val="superscript"/>
        </w:rPr>
        <w:endnoteReference w:id="191"/>
      </w:r>
      <w:r w:rsidRPr="00533702">
        <w:rPr>
          <w:rFonts w:ascii="Avenir Book" w:hAnsi="Avenir Book"/>
          <w:color w:val="000000"/>
        </w:rPr>
        <w:t xml:space="preserve"> Because of conflicts of interest, no single jurisdiction can operate indigent defense services solely through a public defender system.</w:t>
      </w:r>
      <w:r w:rsidRPr="00533702">
        <w:rPr>
          <w:rFonts w:ascii="Avenir Book" w:hAnsi="Avenir Book"/>
          <w:color w:val="000000"/>
          <w:vertAlign w:val="superscript"/>
        </w:rPr>
        <w:endnoteReference w:id="192"/>
      </w:r>
      <w:bookmarkStart w:id="30" w:name="_Toc62730385"/>
    </w:p>
    <w:p w14:paraId="6AD66391" w14:textId="77777777" w:rsidR="00657416" w:rsidRPr="00657416" w:rsidRDefault="00657416" w:rsidP="00657416">
      <w:pPr>
        <w:spacing w:line="360" w:lineRule="auto"/>
        <w:ind w:firstLine="720"/>
        <w:jc w:val="both"/>
        <w:rPr>
          <w:rFonts w:ascii="Avenir Book" w:hAnsi="Avenir Book"/>
          <w:color w:val="000000"/>
        </w:rPr>
      </w:pPr>
    </w:p>
    <w:p w14:paraId="3564332E" w14:textId="050BBA09" w:rsidR="000F6C1C" w:rsidRDefault="00CF4B2D" w:rsidP="00657416">
      <w:pPr>
        <w:pStyle w:val="Head3"/>
      </w:pPr>
      <w:r>
        <w:t xml:space="preserve">Funding </w:t>
      </w:r>
      <w:r w:rsidR="000F6C1C">
        <w:t>Parity between Defenders and Prosecutors</w:t>
      </w:r>
      <w:bookmarkEnd w:id="30"/>
    </w:p>
    <w:p w14:paraId="600C3032" w14:textId="45C5CFF5" w:rsidR="000F6C1C" w:rsidRPr="00657416" w:rsidRDefault="00D8673A" w:rsidP="00657416">
      <w:pPr>
        <w:spacing w:line="360" w:lineRule="auto"/>
        <w:ind w:firstLine="720"/>
        <w:jc w:val="both"/>
        <w:rPr>
          <w:rFonts w:ascii="Avenir Book" w:hAnsi="Avenir Book"/>
        </w:rPr>
      </w:pPr>
      <w:r w:rsidRPr="00657416">
        <w:rPr>
          <w:rFonts w:ascii="Avenir Book" w:hAnsi="Avenir Book"/>
        </w:rPr>
        <w:t>An important consideration for</w:t>
      </w:r>
      <w:r w:rsidR="000F6C1C" w:rsidRPr="00657416">
        <w:rPr>
          <w:rFonts w:ascii="Avenir Book" w:hAnsi="Avenir Book"/>
        </w:rPr>
        <w:t xml:space="preserve"> governments funding indigent defense services is parity between defenders and prosecutors. The concept of parity includes compensation for attorneys, the maintenance of staffing levels, and all related resources — including support, investigative, and expert services.</w:t>
      </w:r>
      <w:r w:rsidR="000F6C1C" w:rsidRPr="00657416">
        <w:rPr>
          <w:rFonts w:ascii="Avenir Book" w:hAnsi="Avenir Book"/>
          <w:vertAlign w:val="superscript"/>
        </w:rPr>
        <w:endnoteReference w:id="193"/>
      </w:r>
      <w:r w:rsidR="000F6C1C" w:rsidRPr="00657416">
        <w:rPr>
          <w:rFonts w:ascii="Avenir Book" w:hAnsi="Avenir Book"/>
        </w:rPr>
        <w:t xml:space="preserve"> </w:t>
      </w:r>
    </w:p>
    <w:p w14:paraId="4EA1C8C0" w14:textId="68C35FE7" w:rsidR="000F6C1C" w:rsidRPr="00657416" w:rsidRDefault="000F6C1C" w:rsidP="00657416">
      <w:pPr>
        <w:spacing w:line="360" w:lineRule="auto"/>
        <w:ind w:firstLine="720"/>
        <w:jc w:val="both"/>
        <w:rPr>
          <w:rFonts w:ascii="Avenir Book" w:hAnsi="Avenir Book"/>
        </w:rPr>
      </w:pPr>
      <w:r w:rsidRPr="00657416">
        <w:rPr>
          <w:rFonts w:ascii="Avenir Book" w:hAnsi="Avenir Book"/>
        </w:rPr>
        <w:lastRenderedPageBreak/>
        <w:t xml:space="preserve">America’s adversarial system is fairest when resources </w:t>
      </w:r>
      <w:r w:rsidR="00D8673A" w:rsidRPr="00657416">
        <w:rPr>
          <w:rFonts w:ascii="Avenir Book" w:hAnsi="Avenir Book"/>
        </w:rPr>
        <w:t>of</w:t>
      </w:r>
      <w:r w:rsidRPr="00657416">
        <w:rPr>
          <w:rFonts w:ascii="Avenir Book" w:hAnsi="Avenir Book"/>
        </w:rPr>
        <w:t xml:space="preserve"> indigent defense providers and prosecutors</w:t>
      </w:r>
      <w:r w:rsidR="00D8673A" w:rsidRPr="00657416">
        <w:rPr>
          <w:rFonts w:ascii="Avenir Book" w:hAnsi="Avenir Book"/>
        </w:rPr>
        <w:t xml:space="preserve"> are balanced</w:t>
      </w:r>
      <w:r w:rsidRPr="00657416">
        <w:rPr>
          <w:rFonts w:ascii="Avenir Book" w:hAnsi="Avenir Book"/>
        </w:rPr>
        <w:t>.</w:t>
      </w:r>
      <w:r w:rsidRPr="00657416">
        <w:rPr>
          <w:rFonts w:ascii="Avenir Book" w:hAnsi="Avenir Book"/>
          <w:vertAlign w:val="superscript"/>
        </w:rPr>
        <w:endnoteReference w:id="194"/>
      </w:r>
      <w:r w:rsidRPr="00657416">
        <w:rPr>
          <w:rFonts w:ascii="Avenir Book" w:hAnsi="Avenir Book"/>
        </w:rPr>
        <w:t xml:space="preserve"> In 1972, Chief Justice Warren Burger stated that “society’s goal should be ‘that the system for providing the counsel and facilities for the defense should be as good as the system which society provides for the prosecution.’”</w:t>
      </w:r>
      <w:r w:rsidRPr="00657416">
        <w:rPr>
          <w:rFonts w:ascii="Avenir Book" w:hAnsi="Avenir Book"/>
          <w:vertAlign w:val="superscript"/>
        </w:rPr>
        <w:endnoteReference w:id="195"/>
      </w:r>
      <w:r w:rsidRPr="00657416">
        <w:rPr>
          <w:rFonts w:ascii="Avenir Book" w:hAnsi="Avenir Book"/>
        </w:rPr>
        <w:t xml:space="preserve"> These words reflect a “venerable idea” that the defense function is just as important to society as the prosecution function.</w:t>
      </w:r>
      <w:r w:rsidRPr="00657416">
        <w:rPr>
          <w:rFonts w:ascii="Avenir Book" w:hAnsi="Avenir Book"/>
          <w:vertAlign w:val="superscript"/>
        </w:rPr>
        <w:endnoteReference w:id="196"/>
      </w:r>
      <w:r w:rsidRPr="00657416">
        <w:rPr>
          <w:rFonts w:ascii="Avenir Book" w:hAnsi="Avenir Book"/>
        </w:rPr>
        <w:t xml:space="preserve"> </w:t>
      </w:r>
    </w:p>
    <w:p w14:paraId="2F9F5EBE" w14:textId="2DFAE23D" w:rsidR="000F6C1C" w:rsidRPr="00657416" w:rsidRDefault="000F6C1C" w:rsidP="00657416">
      <w:pPr>
        <w:spacing w:line="360" w:lineRule="auto"/>
        <w:ind w:firstLine="720"/>
        <w:jc w:val="both"/>
        <w:rPr>
          <w:rFonts w:ascii="Avenir Book" w:hAnsi="Avenir Book"/>
        </w:rPr>
      </w:pPr>
      <w:r w:rsidRPr="00657416">
        <w:rPr>
          <w:rFonts w:ascii="Avenir Book" w:hAnsi="Avenir Book"/>
        </w:rPr>
        <w:t xml:space="preserve">However, parity </w:t>
      </w:r>
      <w:r w:rsidR="00312279" w:rsidRPr="00657416">
        <w:rPr>
          <w:rFonts w:ascii="Avenir Book" w:hAnsi="Avenir Book"/>
        </w:rPr>
        <w:t xml:space="preserve">between prosecutors and defenders </w:t>
      </w:r>
      <w:r w:rsidRPr="00657416">
        <w:rPr>
          <w:rFonts w:ascii="Avenir Book" w:hAnsi="Avenir Book"/>
        </w:rPr>
        <w:t>with respect to pay and resources “is not the current reality in criminal justice funding.”</w:t>
      </w:r>
      <w:r w:rsidRPr="00657416">
        <w:rPr>
          <w:rFonts w:ascii="Avenir Book" w:hAnsi="Avenir Book"/>
          <w:vertAlign w:val="superscript"/>
        </w:rPr>
        <w:endnoteReference w:id="197"/>
      </w:r>
      <w:r w:rsidRPr="00657416">
        <w:rPr>
          <w:rFonts w:ascii="Avenir Book" w:hAnsi="Avenir Book"/>
        </w:rPr>
        <w:t xml:space="preserve"> To the contrary, prosecutor’s offices generally pay higher salaries and have greater access to resources than do </w:t>
      </w:r>
      <w:r w:rsidR="003559EF" w:rsidRPr="00657416">
        <w:rPr>
          <w:rFonts w:ascii="Avenir Book" w:hAnsi="Avenir Book"/>
        </w:rPr>
        <w:t>public defender office</w:t>
      </w:r>
      <w:r w:rsidRPr="00657416">
        <w:rPr>
          <w:rFonts w:ascii="Avenir Book" w:hAnsi="Avenir Book"/>
        </w:rPr>
        <w:t>s,</w:t>
      </w:r>
      <w:r w:rsidR="00E3160B">
        <w:rPr>
          <w:rFonts w:ascii="Avenir Book" w:hAnsi="Avenir Book"/>
        </w:rPr>
        <w:t xml:space="preserve"> which oftentimes l</w:t>
      </w:r>
      <w:r w:rsidRPr="00657416">
        <w:rPr>
          <w:rFonts w:ascii="Avenir Book" w:hAnsi="Avenir Book"/>
        </w:rPr>
        <w:t>ead</w:t>
      </w:r>
      <w:r w:rsidR="00E3160B">
        <w:rPr>
          <w:rFonts w:ascii="Avenir Book" w:hAnsi="Avenir Book"/>
        </w:rPr>
        <w:t>s</w:t>
      </w:r>
      <w:r w:rsidRPr="00657416">
        <w:rPr>
          <w:rFonts w:ascii="Avenir Book" w:hAnsi="Avenir Book"/>
        </w:rPr>
        <w:t xml:space="preserve"> to </w:t>
      </w:r>
      <w:r w:rsidR="00E3160B">
        <w:rPr>
          <w:rFonts w:ascii="Avenir Book" w:hAnsi="Avenir Book"/>
        </w:rPr>
        <w:t>better</w:t>
      </w:r>
      <w:r w:rsidRPr="00657416">
        <w:rPr>
          <w:rFonts w:ascii="Avenir Book" w:hAnsi="Avenir Book"/>
        </w:rPr>
        <w:t xml:space="preserve"> retention of attorneys.</w:t>
      </w:r>
      <w:r w:rsidRPr="00657416">
        <w:rPr>
          <w:rFonts w:ascii="Avenir Book" w:hAnsi="Avenir Book"/>
          <w:vertAlign w:val="superscript"/>
        </w:rPr>
        <w:endnoteReference w:id="198"/>
      </w:r>
      <w:r w:rsidRPr="00657416">
        <w:rPr>
          <w:rFonts w:ascii="Avenir Book" w:hAnsi="Avenir Book"/>
        </w:rPr>
        <w:t xml:space="preserve"> In contrast, indigent defense providers can experience difficulties attracting and retaining attorneys.</w:t>
      </w:r>
      <w:r w:rsidRPr="00657416">
        <w:rPr>
          <w:rFonts w:ascii="Avenir Book" w:hAnsi="Avenir Book"/>
          <w:vertAlign w:val="superscript"/>
        </w:rPr>
        <w:endnoteReference w:id="199"/>
      </w:r>
      <w:r w:rsidRPr="00657416">
        <w:rPr>
          <w:rFonts w:ascii="Avenir Book" w:hAnsi="Avenir Book"/>
        </w:rPr>
        <w:t xml:space="preserve"> Those defenders who choose to pursue their calling despite the comparatively low pay oftentimes </w:t>
      </w:r>
      <w:r w:rsidR="000E5E78" w:rsidRPr="00657416">
        <w:rPr>
          <w:rFonts w:ascii="Avenir Book" w:hAnsi="Avenir Book"/>
        </w:rPr>
        <w:t xml:space="preserve">must work without the </w:t>
      </w:r>
      <w:r w:rsidRPr="00657416">
        <w:rPr>
          <w:rFonts w:ascii="Avenir Book" w:hAnsi="Avenir Book"/>
        </w:rPr>
        <w:t xml:space="preserve">resources necessary </w:t>
      </w:r>
      <w:r w:rsidR="000E5E78" w:rsidRPr="00657416">
        <w:rPr>
          <w:rFonts w:ascii="Avenir Book" w:hAnsi="Avenir Book"/>
        </w:rPr>
        <w:t>to effectively represent</w:t>
      </w:r>
      <w:r w:rsidRPr="00657416">
        <w:rPr>
          <w:rFonts w:ascii="Avenir Book" w:hAnsi="Avenir Book"/>
        </w:rPr>
        <w:t xml:space="preserve"> their clients.</w:t>
      </w:r>
      <w:r w:rsidRPr="00657416">
        <w:rPr>
          <w:rFonts w:ascii="Avenir Book" w:hAnsi="Avenir Book"/>
          <w:vertAlign w:val="superscript"/>
        </w:rPr>
        <w:endnoteReference w:id="200"/>
      </w:r>
      <w:r w:rsidRPr="00657416">
        <w:rPr>
          <w:rFonts w:ascii="Avenir Book" w:hAnsi="Avenir Book"/>
        </w:rPr>
        <w:t xml:space="preserve"> </w:t>
      </w:r>
      <w:r w:rsidR="000E5E78" w:rsidRPr="00657416">
        <w:rPr>
          <w:rFonts w:ascii="Avenir Book" w:hAnsi="Avenir Book"/>
        </w:rPr>
        <w:t xml:space="preserve">In this way, funding asymmetry </w:t>
      </w:r>
      <w:r w:rsidR="00E3160B">
        <w:rPr>
          <w:rFonts w:ascii="Avenir Book" w:hAnsi="Avenir Book"/>
        </w:rPr>
        <w:t xml:space="preserve">can </w:t>
      </w:r>
      <w:r w:rsidR="000E5E78" w:rsidRPr="00657416">
        <w:rPr>
          <w:rFonts w:ascii="Avenir Book" w:hAnsi="Avenir Book"/>
        </w:rPr>
        <w:t>lead to imbalances in the quality of legal representation as between prosecutors and public defenders</w:t>
      </w:r>
      <w:r w:rsidRPr="00657416">
        <w:rPr>
          <w:rFonts w:ascii="Avenir Book" w:hAnsi="Avenir Book"/>
        </w:rPr>
        <w:t xml:space="preserve">.  </w:t>
      </w:r>
    </w:p>
    <w:p w14:paraId="49650DA6" w14:textId="5F55E273" w:rsidR="000F6C1C" w:rsidRDefault="000F6C1C" w:rsidP="00657416">
      <w:pPr>
        <w:pStyle w:val="head4"/>
      </w:pPr>
      <w:bookmarkStart w:id="31" w:name="_Toc62730386"/>
      <w:r>
        <w:t>Pay Parity</w:t>
      </w:r>
      <w:bookmarkEnd w:id="31"/>
    </w:p>
    <w:p w14:paraId="44C96834" w14:textId="42341BAB" w:rsidR="000F6C1C" w:rsidRPr="00657416" w:rsidRDefault="000E5E78" w:rsidP="00657416">
      <w:pPr>
        <w:spacing w:line="360" w:lineRule="auto"/>
        <w:ind w:firstLine="720"/>
        <w:jc w:val="both"/>
        <w:rPr>
          <w:rFonts w:ascii="Avenir Book" w:hAnsi="Avenir Book"/>
        </w:rPr>
      </w:pPr>
      <w:r w:rsidRPr="00657416">
        <w:rPr>
          <w:rFonts w:ascii="Avenir Book" w:hAnsi="Avenir Book"/>
        </w:rPr>
        <w:t>Pay parity between public defenders and prosecutors is an important step towards achieving a fair and just criminal system</w:t>
      </w:r>
      <w:r w:rsidR="000F6C1C" w:rsidRPr="00657416">
        <w:rPr>
          <w:rFonts w:ascii="Avenir Book" w:hAnsi="Avenir Book"/>
        </w:rPr>
        <w:t xml:space="preserve">. </w:t>
      </w:r>
      <w:r w:rsidRPr="00657416">
        <w:rPr>
          <w:rFonts w:ascii="Avenir Book" w:hAnsi="Avenir Book"/>
        </w:rPr>
        <w:t>And, w</w:t>
      </w:r>
      <w:r w:rsidR="000F6C1C" w:rsidRPr="00657416">
        <w:rPr>
          <w:rFonts w:ascii="Avenir Book" w:hAnsi="Avenir Book"/>
        </w:rPr>
        <w:t>hile “[nationwide] surveys indicate that salary parity is the norm rather than the exception for the largest public defender offices,”</w:t>
      </w:r>
      <w:r w:rsidR="000F6C1C" w:rsidRPr="00657416">
        <w:rPr>
          <w:rFonts w:ascii="Avenir Book" w:hAnsi="Avenir Book"/>
          <w:vertAlign w:val="superscript"/>
        </w:rPr>
        <w:endnoteReference w:id="201"/>
      </w:r>
      <w:r w:rsidR="000F6C1C" w:rsidRPr="00657416">
        <w:rPr>
          <w:rFonts w:ascii="Avenir Book" w:hAnsi="Avenir Book"/>
        </w:rPr>
        <w:t xml:space="preserve"> </w:t>
      </w:r>
      <w:r w:rsidRPr="00657416">
        <w:rPr>
          <w:rFonts w:ascii="Avenir Book" w:hAnsi="Avenir Book"/>
        </w:rPr>
        <w:t xml:space="preserve">unfortunately </w:t>
      </w:r>
      <w:r w:rsidR="000F6C1C" w:rsidRPr="00657416">
        <w:rPr>
          <w:rFonts w:ascii="Avenir Book" w:hAnsi="Avenir Book"/>
        </w:rPr>
        <w:t>there are still many jurisdictions that pay d</w:t>
      </w:r>
      <w:r w:rsidR="00312279" w:rsidRPr="00657416">
        <w:rPr>
          <w:rFonts w:ascii="Avenir Book" w:hAnsi="Avenir Book"/>
        </w:rPr>
        <w:t>efenders less than prosecutors.</w:t>
      </w:r>
    </w:p>
    <w:p w14:paraId="7DAF76FE" w14:textId="0CC5FF93" w:rsidR="000F6C1C" w:rsidRPr="00657416" w:rsidRDefault="000F6C1C" w:rsidP="00657416">
      <w:pPr>
        <w:spacing w:line="360" w:lineRule="auto"/>
        <w:ind w:firstLine="720"/>
        <w:jc w:val="both"/>
        <w:rPr>
          <w:rFonts w:ascii="Avenir Book" w:hAnsi="Avenir Book"/>
        </w:rPr>
      </w:pPr>
      <w:r w:rsidRPr="00657416">
        <w:rPr>
          <w:rFonts w:ascii="Avenir Book" w:hAnsi="Avenir Book"/>
        </w:rPr>
        <w:t>Public defenders receive annual salaries determined by their funding source.</w:t>
      </w:r>
      <w:r w:rsidRPr="00657416">
        <w:rPr>
          <w:rFonts w:ascii="Avenir Book" w:hAnsi="Avenir Book"/>
          <w:vertAlign w:val="superscript"/>
        </w:rPr>
        <w:endnoteReference w:id="202"/>
      </w:r>
      <w:r w:rsidRPr="00657416">
        <w:rPr>
          <w:rFonts w:ascii="Avenir Book" w:hAnsi="Avenir Book"/>
          <w:vertAlign w:val="superscript"/>
        </w:rPr>
        <w:t xml:space="preserve"> </w:t>
      </w:r>
      <w:r w:rsidRPr="00657416">
        <w:rPr>
          <w:rFonts w:ascii="Avenir Book" w:hAnsi="Avenir Book"/>
        </w:rPr>
        <w:t>Prosecutors, meanwhile, frequently receive federal, state, and/or local funding in addition to general funding.</w:t>
      </w:r>
      <w:r w:rsidRPr="00657416">
        <w:rPr>
          <w:rFonts w:ascii="Avenir Book" w:hAnsi="Avenir Book"/>
          <w:vertAlign w:val="superscript"/>
        </w:rPr>
        <w:endnoteReference w:id="203"/>
      </w:r>
      <w:r w:rsidRPr="00657416">
        <w:rPr>
          <w:rFonts w:ascii="Avenir Book" w:hAnsi="Avenir Book"/>
        </w:rPr>
        <w:t xml:space="preserve"> Salaries for both defenders and prosecutors fluctuate significantly based on certain factors, like geographical location or level of experience.</w:t>
      </w:r>
      <w:r w:rsidRPr="00657416">
        <w:rPr>
          <w:rFonts w:ascii="Avenir Book" w:hAnsi="Avenir Book"/>
          <w:vertAlign w:val="superscript"/>
        </w:rPr>
        <w:endnoteReference w:id="204"/>
      </w:r>
      <w:r w:rsidRPr="00657416">
        <w:rPr>
          <w:rFonts w:ascii="Avenir Book" w:hAnsi="Avenir Book"/>
        </w:rPr>
        <w:t xml:space="preserve"> </w:t>
      </w:r>
      <w:r w:rsidRPr="00657416">
        <w:rPr>
          <w:rFonts w:ascii="Avenir Book" w:hAnsi="Avenir Book"/>
        </w:rPr>
        <w:lastRenderedPageBreak/>
        <w:t>The result is that defenders nationwide are often paid far less than prosecutors.</w:t>
      </w:r>
      <w:r w:rsidR="00FF658A" w:rsidRPr="00657416">
        <w:rPr>
          <w:rStyle w:val="EndnoteReference"/>
          <w:rFonts w:ascii="Avenir Book" w:hAnsi="Avenir Book"/>
        </w:rPr>
        <w:endnoteReference w:id="205"/>
      </w:r>
      <w:r w:rsidRPr="00657416">
        <w:rPr>
          <w:rFonts w:ascii="Avenir Book" w:hAnsi="Avenir Book"/>
        </w:rPr>
        <w:t xml:space="preserve"> By way of example, district attorneys’ salaries in Westchester County, New York, were approximately $6</w:t>
      </w:r>
      <w:r w:rsidR="00E3160B">
        <w:rPr>
          <w:rFonts w:ascii="Avenir Book" w:hAnsi="Avenir Book"/>
        </w:rPr>
        <w:t>,</w:t>
      </w:r>
      <w:r w:rsidRPr="00657416">
        <w:rPr>
          <w:rFonts w:ascii="Avenir Book" w:hAnsi="Avenir Book"/>
        </w:rPr>
        <w:t>000 to $21,000 higher than public defenders’ salaries when reviewed in 2006;</w:t>
      </w:r>
      <w:r w:rsidRPr="00657416">
        <w:rPr>
          <w:rFonts w:ascii="Avenir Book" w:hAnsi="Avenir Book"/>
          <w:vertAlign w:val="superscript"/>
        </w:rPr>
        <w:endnoteReference w:id="206"/>
      </w:r>
      <w:r w:rsidRPr="00657416">
        <w:rPr>
          <w:rFonts w:ascii="Avenir Book" w:hAnsi="Avenir Book"/>
        </w:rPr>
        <w:t xml:space="preserve"> in Missouri, </w:t>
      </w:r>
      <w:r w:rsidR="009916E4" w:rsidRPr="00657416">
        <w:rPr>
          <w:rFonts w:ascii="Avenir Book" w:hAnsi="Avenir Book"/>
        </w:rPr>
        <w:t>in 2009</w:t>
      </w:r>
      <w:r w:rsidR="00967258" w:rsidRPr="00657416">
        <w:rPr>
          <w:rFonts w:ascii="Avenir Book" w:hAnsi="Avenir Book"/>
        </w:rPr>
        <w:t>,</w:t>
      </w:r>
      <w:r w:rsidR="009916E4" w:rsidRPr="00657416">
        <w:rPr>
          <w:rFonts w:ascii="Avenir Book" w:hAnsi="Avenir Book"/>
        </w:rPr>
        <w:t xml:space="preserve"> </w:t>
      </w:r>
      <w:r w:rsidRPr="00657416">
        <w:rPr>
          <w:rFonts w:ascii="Avenir Book" w:hAnsi="Avenir Book"/>
        </w:rPr>
        <w:t>public defender salaries ranged from $34,000 to $54,000, while prosecutors’ salaries started at $40</w:t>
      </w:r>
      <w:r w:rsidR="002827E3" w:rsidRPr="00657416">
        <w:rPr>
          <w:rFonts w:ascii="Avenir Book" w:hAnsi="Avenir Book"/>
        </w:rPr>
        <w:t>,000</w:t>
      </w:r>
      <w:r w:rsidRPr="00657416">
        <w:rPr>
          <w:rFonts w:ascii="Avenir Book" w:hAnsi="Avenir Book"/>
        </w:rPr>
        <w:t xml:space="preserve"> and could go as high as $100,000 or more;</w:t>
      </w:r>
      <w:r w:rsidRPr="00657416">
        <w:rPr>
          <w:rFonts w:ascii="Avenir Book" w:hAnsi="Avenir Book"/>
          <w:vertAlign w:val="superscript"/>
        </w:rPr>
        <w:endnoteReference w:id="207"/>
      </w:r>
      <w:r w:rsidRPr="00657416">
        <w:rPr>
          <w:rFonts w:ascii="Avenir Book" w:hAnsi="Avenir Book"/>
        </w:rPr>
        <w:t xml:space="preserve"> </w:t>
      </w:r>
      <w:r w:rsidR="009916E4" w:rsidRPr="00657416">
        <w:rPr>
          <w:rFonts w:ascii="Avenir Book" w:hAnsi="Avenir Book"/>
        </w:rPr>
        <w:t xml:space="preserve">and until recently </w:t>
      </w:r>
      <w:r w:rsidRPr="00657416">
        <w:rPr>
          <w:rFonts w:ascii="Avenir Book" w:hAnsi="Avenir Book"/>
        </w:rPr>
        <w:t xml:space="preserve">New Orleans paid defenders </w:t>
      </w:r>
      <w:r w:rsidR="002827E3" w:rsidRPr="00657416">
        <w:rPr>
          <w:rFonts w:ascii="Avenir Book" w:hAnsi="Avenir Book"/>
        </w:rPr>
        <w:t xml:space="preserve">only </w:t>
      </w:r>
      <w:r w:rsidRPr="00657416">
        <w:rPr>
          <w:rFonts w:ascii="Avenir Book" w:hAnsi="Avenir Book"/>
        </w:rPr>
        <w:t>about 35 percent of what prosecutors earned.</w:t>
      </w:r>
      <w:r w:rsidRPr="00657416">
        <w:rPr>
          <w:rFonts w:ascii="Avenir Book" w:hAnsi="Avenir Book"/>
          <w:vertAlign w:val="superscript"/>
        </w:rPr>
        <w:endnoteReference w:id="208"/>
      </w:r>
      <w:r w:rsidRPr="00657416">
        <w:rPr>
          <w:rFonts w:ascii="Avenir Book" w:hAnsi="Avenir Book"/>
        </w:rPr>
        <w:t xml:space="preserve"> </w:t>
      </w:r>
    </w:p>
    <w:p w14:paraId="4F74E1E3" w14:textId="77777777" w:rsidR="00CF4B2D" w:rsidRPr="00657416" w:rsidRDefault="000F6C1C" w:rsidP="00657416">
      <w:pPr>
        <w:spacing w:line="360" w:lineRule="auto"/>
        <w:ind w:firstLine="720"/>
        <w:jc w:val="both"/>
        <w:rPr>
          <w:rFonts w:ascii="Avenir Book" w:hAnsi="Avenir Book"/>
        </w:rPr>
      </w:pPr>
      <w:r w:rsidRPr="00657416">
        <w:rPr>
          <w:rFonts w:ascii="Avenir Book" w:hAnsi="Avenir Book"/>
        </w:rPr>
        <w:t>Most national standards explicitly call for pay parity between defenders and prosecutors.</w:t>
      </w:r>
      <w:r w:rsidRPr="00657416">
        <w:rPr>
          <w:rFonts w:ascii="Avenir Book" w:hAnsi="Avenir Book"/>
          <w:vertAlign w:val="superscript"/>
        </w:rPr>
        <w:endnoteReference w:id="209"/>
      </w:r>
      <w:r w:rsidR="00CF4B2D" w:rsidRPr="00657416">
        <w:rPr>
          <w:rFonts w:ascii="Avenir Book" w:hAnsi="Avenir Book"/>
        </w:rPr>
        <w:t xml:space="preserve"> The Eighth ABA Principle states that there should be parity between public defenders and prosecutors with respect to salary, workload, and other resources.</w:t>
      </w:r>
      <w:r w:rsidR="00CF4B2D" w:rsidRPr="00657416">
        <w:rPr>
          <w:rFonts w:ascii="Avenir Book" w:hAnsi="Avenir Book"/>
          <w:vertAlign w:val="superscript"/>
        </w:rPr>
        <w:endnoteReference w:id="210"/>
      </w:r>
      <w:r w:rsidR="00CF4B2D" w:rsidRPr="00657416">
        <w:rPr>
          <w:rFonts w:ascii="Avenir Book" w:hAnsi="Avenir Book"/>
        </w:rPr>
        <w:t xml:space="preserve"> Other resources include employment benefits, technology, facilities, legal research, support staff/paralegals, investigators, and access to forensic services and experts.</w:t>
      </w:r>
      <w:r w:rsidR="00CF4B2D" w:rsidRPr="00657416">
        <w:rPr>
          <w:rFonts w:ascii="Avenir Book" w:hAnsi="Avenir Book"/>
          <w:vertAlign w:val="superscript"/>
        </w:rPr>
        <w:endnoteReference w:id="211"/>
      </w:r>
      <w:r w:rsidR="00CF4B2D" w:rsidRPr="00657416">
        <w:rPr>
          <w:rFonts w:ascii="Avenir Book" w:hAnsi="Avenir Book"/>
        </w:rPr>
        <w:t xml:space="preserve"> </w:t>
      </w:r>
    </w:p>
    <w:p w14:paraId="520AA5CB" w14:textId="46D44D36" w:rsidR="000F6C1C" w:rsidRPr="00657416" w:rsidRDefault="000F6C1C" w:rsidP="00657416">
      <w:pPr>
        <w:spacing w:line="360" w:lineRule="auto"/>
        <w:ind w:firstLine="720"/>
        <w:jc w:val="both"/>
        <w:rPr>
          <w:rFonts w:ascii="Avenir Book" w:hAnsi="Avenir Book"/>
        </w:rPr>
      </w:pPr>
      <w:r w:rsidRPr="00657416">
        <w:rPr>
          <w:rFonts w:ascii="Avenir Book" w:hAnsi="Avenir Book"/>
        </w:rPr>
        <w:t>Indigent defense and prosecution require “broadly similar skills” – familiarity with court procedures and practice, expert grasp o</w:t>
      </w:r>
      <w:r w:rsidR="009916E4" w:rsidRPr="00657416">
        <w:rPr>
          <w:rFonts w:ascii="Avenir Book" w:hAnsi="Avenir Book"/>
        </w:rPr>
        <w:t>f</w:t>
      </w:r>
      <w:r w:rsidRPr="00657416">
        <w:rPr>
          <w:rFonts w:ascii="Avenir Book" w:hAnsi="Avenir Book"/>
        </w:rPr>
        <w:t xml:space="preserve"> pertinent statutes and precedents, and skills in advocacy and negotiation.</w:t>
      </w:r>
      <w:r w:rsidRPr="00657416">
        <w:rPr>
          <w:rFonts w:ascii="Avenir Book" w:hAnsi="Avenir Book"/>
          <w:vertAlign w:val="superscript"/>
        </w:rPr>
        <w:endnoteReference w:id="212"/>
      </w:r>
      <w:r w:rsidRPr="00657416">
        <w:rPr>
          <w:rFonts w:ascii="Avenir Book" w:hAnsi="Avenir Book"/>
        </w:rPr>
        <w:t xml:space="preserve"> Because the skill sets are, if not identical, at least equal, there is little abstract justification for large variances in pay between prosecutors and defenders.</w:t>
      </w:r>
    </w:p>
    <w:p w14:paraId="7D873EE6" w14:textId="77777777" w:rsidR="000F6C1C" w:rsidRPr="00657416" w:rsidRDefault="000F6C1C" w:rsidP="00657416">
      <w:pPr>
        <w:spacing w:line="360" w:lineRule="auto"/>
        <w:ind w:firstLine="720"/>
        <w:jc w:val="both"/>
        <w:rPr>
          <w:rFonts w:ascii="Avenir Book" w:hAnsi="Avenir Book"/>
        </w:rPr>
      </w:pPr>
      <w:r w:rsidRPr="00657416">
        <w:rPr>
          <w:rFonts w:ascii="Avenir Book" w:hAnsi="Avenir Book"/>
        </w:rPr>
        <w:t>Pay disparity can occur in many ways. It can be set at the point of initial hire and then intensify throughout the course of employment.  For example, an entry-level prosecutor may earn a higher salary than an entry-level defender in the same area, and this disparity may persist even as both the prosecutor and defender gain experience and seniority in their offices.</w:t>
      </w:r>
      <w:r w:rsidRPr="00657416">
        <w:rPr>
          <w:rFonts w:ascii="Avenir Book" w:hAnsi="Avenir Book"/>
          <w:vertAlign w:val="superscript"/>
        </w:rPr>
        <w:endnoteReference w:id="213"/>
      </w:r>
      <w:r w:rsidRPr="00657416">
        <w:rPr>
          <w:rFonts w:ascii="Avenir Book" w:hAnsi="Avenir Book"/>
        </w:rPr>
        <w:t xml:space="preserve"> It can also develop over time. Entry-level prosecutors and defenders may be hired at the same pay level, but if prosecutors receive larger raises or cost-of-living increases over time, or if top pay for defenders is capped at a lower amount, then the disparity can reveal itself as attorneys in both offices gain seniority.</w:t>
      </w:r>
      <w:r w:rsidRPr="00657416">
        <w:rPr>
          <w:rFonts w:ascii="Avenir Book" w:hAnsi="Avenir Book"/>
          <w:vertAlign w:val="superscript"/>
        </w:rPr>
        <w:t xml:space="preserve"> </w:t>
      </w:r>
      <w:r w:rsidRPr="00657416">
        <w:rPr>
          <w:rFonts w:ascii="Avenir Book" w:hAnsi="Avenir Book"/>
          <w:vertAlign w:val="superscript"/>
        </w:rPr>
        <w:endnoteReference w:id="214"/>
      </w:r>
    </w:p>
    <w:p w14:paraId="4884FBCF" w14:textId="77777777" w:rsidR="000F6C1C" w:rsidRPr="00657416" w:rsidRDefault="000F6C1C" w:rsidP="00657416">
      <w:pPr>
        <w:spacing w:line="360" w:lineRule="auto"/>
        <w:ind w:firstLine="720"/>
        <w:jc w:val="both"/>
        <w:rPr>
          <w:rFonts w:ascii="Avenir Book" w:hAnsi="Avenir Book"/>
        </w:rPr>
      </w:pPr>
      <w:r w:rsidRPr="00657416">
        <w:rPr>
          <w:rFonts w:ascii="Avenir Book" w:hAnsi="Avenir Book"/>
        </w:rPr>
        <w:lastRenderedPageBreak/>
        <w:t xml:space="preserve">This structural disparity can have a long-term impact on a </w:t>
      </w:r>
      <w:r w:rsidR="003559EF" w:rsidRPr="00657416">
        <w:rPr>
          <w:rFonts w:ascii="Avenir Book" w:hAnsi="Avenir Book"/>
        </w:rPr>
        <w:t>public defender office</w:t>
      </w:r>
      <w:r w:rsidRPr="00657416">
        <w:rPr>
          <w:rFonts w:ascii="Avenir Book" w:hAnsi="Avenir Book"/>
        </w:rPr>
        <w:t>’s ability to retain attorneys. While some people may be amenable to accepting a lower salary to be a public defender, public defender offices can struggle to retain experienced attorneys who receive salaries that are dwarfed by their prosecutor adversaries.</w:t>
      </w:r>
      <w:r w:rsidRPr="00657416">
        <w:rPr>
          <w:rFonts w:ascii="Avenir Book" w:hAnsi="Avenir Book"/>
          <w:vertAlign w:val="superscript"/>
        </w:rPr>
        <w:endnoteReference w:id="215"/>
      </w:r>
      <w:r w:rsidRPr="00657416">
        <w:rPr>
          <w:rFonts w:ascii="Avenir Book" w:hAnsi="Avenir Book"/>
        </w:rPr>
        <w:t xml:space="preserve"> Public defender salaries can even be so inadequate as to prompt defense attorneys into seeking secondary employment to pay their outstanding debts and living expenses.</w:t>
      </w:r>
      <w:r w:rsidRPr="00657416">
        <w:rPr>
          <w:rFonts w:ascii="Avenir Book" w:hAnsi="Avenir Book"/>
          <w:vertAlign w:val="superscript"/>
        </w:rPr>
        <w:endnoteReference w:id="216"/>
      </w:r>
    </w:p>
    <w:p w14:paraId="214F23D6" w14:textId="22EA73D6" w:rsidR="00657416" w:rsidRPr="00657416" w:rsidRDefault="000F6C1C" w:rsidP="00E3160B">
      <w:pPr>
        <w:spacing w:line="360" w:lineRule="auto"/>
        <w:ind w:firstLine="720"/>
        <w:jc w:val="both"/>
        <w:rPr>
          <w:rFonts w:ascii="Avenir Book" w:hAnsi="Avenir Book"/>
        </w:rPr>
      </w:pPr>
      <w:r w:rsidRPr="00657416">
        <w:rPr>
          <w:rFonts w:ascii="Avenir Book" w:hAnsi="Avenir Book"/>
        </w:rPr>
        <w:t>States and local governments have taken many paths to achieve greater pay parity between defenders and prosecutors. Some have chosen to pay both defenders and prosecutors using the same pay scale, thereby achieving full parity.</w:t>
      </w:r>
      <w:r w:rsidRPr="00657416">
        <w:rPr>
          <w:rFonts w:ascii="Avenir Book" w:hAnsi="Avenir Book"/>
          <w:vertAlign w:val="superscript"/>
        </w:rPr>
        <w:endnoteReference w:id="217"/>
      </w:r>
      <w:r w:rsidRPr="00657416">
        <w:rPr>
          <w:rFonts w:ascii="Avenir Book" w:hAnsi="Avenir Book"/>
        </w:rPr>
        <w:t xml:space="preserve"> Other governments have chosen to use commensurate starting salaries for entry-level defenders and prosecutors.</w:t>
      </w:r>
      <w:r w:rsidRPr="00657416">
        <w:rPr>
          <w:rFonts w:ascii="Avenir Book" w:hAnsi="Avenir Book"/>
          <w:vertAlign w:val="superscript"/>
        </w:rPr>
        <w:endnoteReference w:id="218"/>
      </w:r>
      <w:r w:rsidRPr="00657416">
        <w:rPr>
          <w:rFonts w:ascii="Avenir Book" w:hAnsi="Avenir Book"/>
        </w:rPr>
        <w:t xml:space="preserve"> Even others, like that in New Orleans, have decided to fund the </w:t>
      </w:r>
      <w:r w:rsidR="003559EF" w:rsidRPr="00657416">
        <w:rPr>
          <w:rFonts w:ascii="Avenir Book" w:hAnsi="Avenir Book"/>
        </w:rPr>
        <w:t>public defender office</w:t>
      </w:r>
      <w:r w:rsidRPr="00657416">
        <w:rPr>
          <w:rFonts w:ascii="Avenir Book" w:hAnsi="Avenir Book"/>
        </w:rPr>
        <w:t xml:space="preserve"> at a set percentage of the District Attorney’s office “equal to the proportion of criminal cases the public defender’s estimate they handle in the city.”</w:t>
      </w:r>
      <w:r w:rsidRPr="00657416">
        <w:rPr>
          <w:rFonts w:ascii="Avenir Book" w:hAnsi="Avenir Book"/>
          <w:vertAlign w:val="superscript"/>
        </w:rPr>
        <w:endnoteReference w:id="219"/>
      </w:r>
      <w:bookmarkStart w:id="32" w:name="_Toc62730387"/>
    </w:p>
    <w:p w14:paraId="7736F8B0" w14:textId="6A14DE15" w:rsidR="000F6C1C" w:rsidRDefault="000F6C1C" w:rsidP="00657416">
      <w:pPr>
        <w:pStyle w:val="head4"/>
      </w:pPr>
      <w:r>
        <w:t>Resource Parity</w:t>
      </w:r>
      <w:bookmarkEnd w:id="32"/>
    </w:p>
    <w:p w14:paraId="12EF6590" w14:textId="146B8644" w:rsidR="000F6C1C" w:rsidRPr="00657416" w:rsidRDefault="000F6C1C" w:rsidP="00657416">
      <w:pPr>
        <w:spacing w:line="360" w:lineRule="auto"/>
        <w:ind w:firstLine="720"/>
        <w:jc w:val="both"/>
        <w:rPr>
          <w:rFonts w:ascii="Avenir Book" w:hAnsi="Avenir Book"/>
        </w:rPr>
      </w:pPr>
      <w:r w:rsidRPr="00657416">
        <w:rPr>
          <w:rFonts w:ascii="Avenir Book" w:hAnsi="Avenir Book"/>
        </w:rPr>
        <w:t>Governments should also consider the need for parity of resources between defenders and prosecutors. For indigent defense providers to deliver effective representation, they must have access to adequate support resources, which include independent investigators, social workers, paralegals, administrative staff, and expert witnesses.</w:t>
      </w:r>
      <w:r w:rsidRPr="00657416">
        <w:rPr>
          <w:rFonts w:ascii="Avenir Book" w:hAnsi="Avenir Book"/>
          <w:vertAlign w:val="superscript"/>
        </w:rPr>
        <w:endnoteReference w:id="220"/>
      </w:r>
      <w:r w:rsidRPr="00657416">
        <w:rPr>
          <w:rFonts w:ascii="Avenir Book" w:hAnsi="Avenir Book"/>
        </w:rPr>
        <w:t xml:space="preserve"> Effective representation </w:t>
      </w:r>
      <w:r w:rsidR="009916E4" w:rsidRPr="00657416">
        <w:rPr>
          <w:rFonts w:ascii="Avenir Book" w:hAnsi="Avenir Book"/>
        </w:rPr>
        <w:t>may</w:t>
      </w:r>
      <w:r w:rsidRPr="00657416">
        <w:rPr>
          <w:rFonts w:ascii="Avenir Book" w:hAnsi="Avenir Book"/>
        </w:rPr>
        <w:t xml:space="preserve"> be impacted by non-personnel resources too, like access to technologies and physical facilities.</w:t>
      </w:r>
      <w:r w:rsidRPr="00657416">
        <w:rPr>
          <w:rFonts w:ascii="Avenir Book" w:hAnsi="Avenir Book"/>
          <w:vertAlign w:val="superscript"/>
        </w:rPr>
        <w:endnoteReference w:id="221"/>
      </w:r>
      <w:r w:rsidRPr="00657416">
        <w:rPr>
          <w:rFonts w:ascii="Avenir Book" w:hAnsi="Avenir Book"/>
        </w:rPr>
        <w:t xml:space="preserve"> It is an unfortunate but real possibility that the outcome of a criminal case </w:t>
      </w:r>
      <w:r w:rsidR="009916E4" w:rsidRPr="00657416">
        <w:rPr>
          <w:rFonts w:ascii="Avenir Book" w:hAnsi="Avenir Book"/>
        </w:rPr>
        <w:t>may</w:t>
      </w:r>
      <w:r w:rsidRPr="00657416">
        <w:rPr>
          <w:rFonts w:ascii="Avenir Book" w:hAnsi="Avenir Book"/>
        </w:rPr>
        <w:t xml:space="preserve"> hinge on something as simple as a defender’s ability to have access to necessary resources.</w:t>
      </w:r>
      <w:r w:rsidRPr="00657416">
        <w:rPr>
          <w:rFonts w:ascii="Avenir Book" w:hAnsi="Avenir Book"/>
          <w:vertAlign w:val="superscript"/>
        </w:rPr>
        <w:endnoteReference w:id="222"/>
      </w:r>
    </w:p>
    <w:p w14:paraId="0517EEE7" w14:textId="77777777" w:rsidR="000F6C1C" w:rsidRPr="00657416" w:rsidRDefault="000F6C1C" w:rsidP="00657416">
      <w:pPr>
        <w:spacing w:line="360" w:lineRule="auto"/>
        <w:ind w:firstLine="720"/>
        <w:jc w:val="both"/>
        <w:rPr>
          <w:rFonts w:ascii="Avenir Book" w:hAnsi="Avenir Book"/>
        </w:rPr>
      </w:pPr>
      <w:r w:rsidRPr="00657416">
        <w:rPr>
          <w:rFonts w:ascii="Avenir Book" w:hAnsi="Avenir Book"/>
        </w:rPr>
        <w:t>Support and non-personnel resources can benefit indigent defense providers in a variety of ways. The job of an independent investigator is to interview witnesses and collect physical evidence.</w:t>
      </w:r>
      <w:r w:rsidRPr="00657416">
        <w:rPr>
          <w:rFonts w:ascii="Avenir Book" w:hAnsi="Avenir Book"/>
          <w:vertAlign w:val="superscript"/>
        </w:rPr>
        <w:endnoteReference w:id="223"/>
      </w:r>
      <w:r w:rsidRPr="00657416">
        <w:rPr>
          <w:rFonts w:ascii="Avenir Book" w:hAnsi="Avenir Book"/>
        </w:rPr>
        <w:t xml:space="preserve"> Because indigent defense attorneys may not have the time </w:t>
      </w:r>
      <w:r w:rsidRPr="00657416">
        <w:rPr>
          <w:rFonts w:ascii="Avenir Book" w:hAnsi="Avenir Book"/>
        </w:rPr>
        <w:lastRenderedPageBreak/>
        <w:t>or ability to track down witnesses, travel to distant locations, or survey crime scenes, investigative staff can be critical in assisting defense attorneys gather the pertinent facts of any assigned case.</w:t>
      </w:r>
      <w:r w:rsidRPr="00657416">
        <w:rPr>
          <w:rFonts w:ascii="Avenir Book" w:hAnsi="Avenir Book"/>
          <w:vertAlign w:val="superscript"/>
        </w:rPr>
        <w:endnoteReference w:id="224"/>
      </w:r>
      <w:r w:rsidRPr="00657416">
        <w:rPr>
          <w:rFonts w:ascii="Avenir Book" w:hAnsi="Avenir Book"/>
        </w:rPr>
        <w:t xml:space="preserve"> One 2007 survey found that “40 percent of all county-based offices and 87 percent of small offices (those receiving less than 1,000 cases per year) employed no investigators whatsoever.”</w:t>
      </w:r>
      <w:r w:rsidRPr="00657416">
        <w:rPr>
          <w:rFonts w:ascii="Avenir Book" w:hAnsi="Avenir Book"/>
          <w:vertAlign w:val="superscript"/>
        </w:rPr>
        <w:endnoteReference w:id="225"/>
      </w:r>
      <w:r w:rsidRPr="00657416">
        <w:rPr>
          <w:rFonts w:ascii="Avenir Book" w:hAnsi="Avenir Book"/>
        </w:rPr>
        <w:t xml:space="preserve"> In fact the survey showed that, “only 7 percent of county-based offices nationwide met the accepted professional guidelines for investigator-to-attorney ratio — a statistic that understates the scope of the problem given the widespread understaffing of attorneys.”</w:t>
      </w:r>
      <w:r w:rsidRPr="00657416">
        <w:rPr>
          <w:rFonts w:ascii="Avenir Book" w:hAnsi="Avenir Book"/>
          <w:vertAlign w:val="superscript"/>
        </w:rPr>
        <w:endnoteReference w:id="226"/>
      </w:r>
    </w:p>
    <w:p w14:paraId="0234C021" w14:textId="77777777" w:rsidR="000F6C1C" w:rsidRPr="00657416" w:rsidRDefault="000F6C1C" w:rsidP="00657416">
      <w:pPr>
        <w:spacing w:line="360" w:lineRule="auto"/>
        <w:ind w:firstLine="720"/>
        <w:jc w:val="both"/>
        <w:rPr>
          <w:rFonts w:ascii="Avenir Book" w:hAnsi="Avenir Book"/>
        </w:rPr>
      </w:pPr>
      <w:r w:rsidRPr="00657416">
        <w:rPr>
          <w:rFonts w:ascii="Avenir Book" w:hAnsi="Avenir Book"/>
        </w:rPr>
        <w:t>Defenders offices can also lack sufficient funds to hire social workers and paraprofessionals. Social workers can help indigent defense attorneys develop sentences and resolutions that reflect a client’s treatment needs, like a rehabilitation plan.</w:t>
      </w:r>
      <w:r w:rsidRPr="00657416">
        <w:rPr>
          <w:rFonts w:ascii="Avenir Book" w:hAnsi="Avenir Book"/>
          <w:vertAlign w:val="superscript"/>
        </w:rPr>
        <w:endnoteReference w:id="227"/>
      </w:r>
      <w:r w:rsidRPr="00657416">
        <w:rPr>
          <w:rFonts w:ascii="Avenir Book" w:hAnsi="Avenir Book"/>
        </w:rPr>
        <w:t xml:space="preserve"> Sufficient paralegal and administrative staffing may prevent defense attorneys from being asked to devote their time to clerical tasks instead of legal work, something that can impede the quality of their representation.</w:t>
      </w:r>
      <w:r w:rsidRPr="00657416">
        <w:rPr>
          <w:rFonts w:ascii="Avenir Book" w:hAnsi="Avenir Book"/>
          <w:vertAlign w:val="superscript"/>
        </w:rPr>
        <w:endnoteReference w:id="228"/>
      </w:r>
      <w:r w:rsidRPr="00657416">
        <w:rPr>
          <w:rFonts w:ascii="Avenir Book" w:hAnsi="Avenir Book"/>
        </w:rPr>
        <w:t xml:space="preserve"> </w:t>
      </w:r>
    </w:p>
    <w:p w14:paraId="3CBB6BE9" w14:textId="0B1B8B49" w:rsidR="000F6C1C" w:rsidRPr="00657416" w:rsidRDefault="000F6C1C" w:rsidP="00657416">
      <w:pPr>
        <w:spacing w:line="360" w:lineRule="auto"/>
        <w:ind w:firstLine="720"/>
        <w:jc w:val="both"/>
        <w:rPr>
          <w:rFonts w:ascii="Avenir Book" w:hAnsi="Avenir Book"/>
        </w:rPr>
      </w:pPr>
      <w:r w:rsidRPr="00657416">
        <w:rPr>
          <w:rFonts w:ascii="Avenir Book" w:hAnsi="Avenir Book"/>
        </w:rPr>
        <w:t>There can also be a technology gap between prosecutor</w:t>
      </w:r>
      <w:r w:rsidR="007B3C37" w:rsidRPr="00657416">
        <w:rPr>
          <w:rFonts w:ascii="Avenir Book" w:hAnsi="Avenir Book"/>
        </w:rPr>
        <w:t>’</w:t>
      </w:r>
      <w:r w:rsidRPr="00657416">
        <w:rPr>
          <w:rFonts w:ascii="Avenir Book" w:hAnsi="Avenir Book"/>
        </w:rPr>
        <w:t>s offices and the public defender. Access to technology can assist defenders with important back-end functions like communication, legal research, and case management.</w:t>
      </w:r>
      <w:r w:rsidRPr="00657416">
        <w:rPr>
          <w:rFonts w:ascii="Avenir Book" w:hAnsi="Avenir Book"/>
          <w:vertAlign w:val="superscript"/>
        </w:rPr>
        <w:endnoteReference w:id="229"/>
      </w:r>
      <w:r w:rsidRPr="00657416">
        <w:rPr>
          <w:rFonts w:ascii="Avenir Book" w:hAnsi="Avenir Book"/>
        </w:rPr>
        <w:t xml:space="preserve"> But technology has also become increasingly central in presenting cases at trial and appeal, as well. </w:t>
      </w:r>
    </w:p>
    <w:p w14:paraId="7D278CC7" w14:textId="77777777" w:rsidR="000F6C1C" w:rsidRPr="00657416" w:rsidRDefault="000F6C1C" w:rsidP="00657416">
      <w:pPr>
        <w:spacing w:line="360" w:lineRule="auto"/>
        <w:ind w:firstLine="720"/>
        <w:jc w:val="both"/>
        <w:rPr>
          <w:rFonts w:ascii="Avenir Book" w:hAnsi="Avenir Book"/>
        </w:rPr>
      </w:pPr>
      <w:r w:rsidRPr="00657416">
        <w:rPr>
          <w:rFonts w:ascii="Avenir Book" w:hAnsi="Avenir Book"/>
        </w:rPr>
        <w:t>National standards recommend resource parity between defenders and prosecutors, which would include equal access to investigators, social workers, paralegals, administrative staff, expert witnesses, technologies, facilities, and forensic services.</w:t>
      </w:r>
      <w:r w:rsidRPr="00657416">
        <w:rPr>
          <w:rFonts w:ascii="Avenir Book" w:hAnsi="Avenir Book"/>
          <w:vertAlign w:val="superscript"/>
        </w:rPr>
        <w:endnoteReference w:id="230"/>
      </w:r>
      <w:r w:rsidRPr="00657416">
        <w:rPr>
          <w:rFonts w:ascii="Avenir Book" w:hAnsi="Avenir Book"/>
        </w:rPr>
        <w:t xml:space="preserve"> Prosecutors typically have access to a wealth of government resources, including police investigations, forensic labs, and employees capable of testifying as expert witnesses.</w:t>
      </w:r>
      <w:r w:rsidRPr="00657416">
        <w:rPr>
          <w:rFonts w:ascii="Avenir Book" w:hAnsi="Avenir Book"/>
          <w:vertAlign w:val="superscript"/>
        </w:rPr>
        <w:endnoteReference w:id="231"/>
      </w:r>
      <w:r w:rsidRPr="00657416">
        <w:rPr>
          <w:rFonts w:ascii="Avenir Book" w:hAnsi="Avenir Book"/>
        </w:rPr>
        <w:t xml:space="preserve"> These government resources can be, and frequently are, directed toward conducting follow-up investigations that can help strengthen a prosecutor’s case.</w:t>
      </w:r>
      <w:r w:rsidRPr="00657416">
        <w:rPr>
          <w:rFonts w:ascii="Avenir Book" w:hAnsi="Avenir Book"/>
          <w:vertAlign w:val="superscript"/>
        </w:rPr>
        <w:endnoteReference w:id="232"/>
      </w:r>
      <w:r w:rsidRPr="00657416">
        <w:rPr>
          <w:rFonts w:ascii="Avenir Book" w:hAnsi="Avenir Book"/>
        </w:rPr>
        <w:t xml:space="preserve"> Defenders, meanwhile, may not have access to these types of resources with the </w:t>
      </w:r>
      <w:r w:rsidRPr="00657416">
        <w:rPr>
          <w:rFonts w:ascii="Avenir Book" w:hAnsi="Avenir Book"/>
        </w:rPr>
        <w:lastRenderedPageBreak/>
        <w:t>same ease as prosecutors, and may even be required to demonstrate a need for them to a court.</w:t>
      </w:r>
      <w:r w:rsidRPr="00657416">
        <w:rPr>
          <w:rFonts w:ascii="Avenir Book" w:hAnsi="Avenir Book"/>
          <w:vertAlign w:val="superscript"/>
        </w:rPr>
        <w:endnoteReference w:id="233"/>
      </w:r>
      <w:r w:rsidRPr="00657416">
        <w:rPr>
          <w:rFonts w:ascii="Avenir Book" w:hAnsi="Avenir Book"/>
        </w:rPr>
        <w:t xml:space="preserve"> </w:t>
      </w:r>
    </w:p>
    <w:p w14:paraId="7150BBE8" w14:textId="176A8C85" w:rsidR="000F6C1C" w:rsidRPr="00657416" w:rsidRDefault="000F6C1C" w:rsidP="00657416">
      <w:pPr>
        <w:spacing w:line="360" w:lineRule="auto"/>
        <w:ind w:firstLine="720"/>
        <w:jc w:val="both"/>
        <w:rPr>
          <w:rFonts w:ascii="Avenir Book" w:hAnsi="Avenir Book"/>
        </w:rPr>
      </w:pPr>
      <w:r w:rsidRPr="00657416">
        <w:rPr>
          <w:rFonts w:ascii="Avenir Book" w:hAnsi="Avenir Book"/>
        </w:rPr>
        <w:t>One important caveat with respect to parity is that defenders and prosecutors may not necessarily work on the same types of cases, nor may they necessarily perform comparable work on each case.</w:t>
      </w:r>
      <w:r w:rsidRPr="00657416">
        <w:rPr>
          <w:rFonts w:ascii="Avenir Book" w:hAnsi="Avenir Book"/>
          <w:vertAlign w:val="superscript"/>
        </w:rPr>
        <w:endnoteReference w:id="234"/>
      </w:r>
      <w:r w:rsidRPr="00657416">
        <w:rPr>
          <w:rFonts w:ascii="Avenir Book" w:hAnsi="Avenir Book"/>
        </w:rPr>
        <w:t xml:space="preserve"> Prosecutors may, for example, be expected to handle cases where defendants choose to represent themselves, or where they are represented by private attorneys not subject to the structures and potential limitations of indigent defense providers.</w:t>
      </w:r>
      <w:r w:rsidRPr="00657416">
        <w:rPr>
          <w:rFonts w:ascii="Avenir Book" w:hAnsi="Avenir Book"/>
          <w:vertAlign w:val="superscript"/>
        </w:rPr>
        <w:endnoteReference w:id="235"/>
      </w:r>
      <w:r w:rsidRPr="00657416">
        <w:rPr>
          <w:rFonts w:ascii="Avenir Book" w:hAnsi="Avenir Book"/>
        </w:rPr>
        <w:t xml:space="preserve"> Outside of handling cases, prosecutors may devote their time to deciding whether to decline to pursue charges or divert a particular matter from the criminal legal system before it has an opportunity to come before a defense attorney.</w:t>
      </w:r>
      <w:r w:rsidRPr="00657416">
        <w:rPr>
          <w:rFonts w:ascii="Avenir Book" w:hAnsi="Avenir Book"/>
          <w:vertAlign w:val="superscript"/>
        </w:rPr>
        <w:endnoteReference w:id="236"/>
      </w:r>
      <w:r w:rsidRPr="00657416">
        <w:rPr>
          <w:rFonts w:ascii="Avenir Book" w:hAnsi="Avenir Book"/>
        </w:rPr>
        <w:t xml:space="preserve"> Finally, prosecutors may need to have resources available for providing support to crime victims, something that has no real analogue in indigent defense providers.</w:t>
      </w:r>
      <w:r w:rsidRPr="00657416">
        <w:rPr>
          <w:rFonts w:ascii="Avenir Book" w:hAnsi="Avenir Book"/>
          <w:vertAlign w:val="superscript"/>
        </w:rPr>
        <w:endnoteReference w:id="237"/>
      </w:r>
      <w:r w:rsidRPr="00657416">
        <w:rPr>
          <w:rFonts w:ascii="Avenir Book" w:hAnsi="Avenir Book"/>
        </w:rPr>
        <w:t xml:space="preserve"> </w:t>
      </w:r>
    </w:p>
    <w:p w14:paraId="7B5C280B" w14:textId="58B1CF10" w:rsidR="00657416" w:rsidRDefault="000F6C1C" w:rsidP="00657416">
      <w:pPr>
        <w:spacing w:line="360" w:lineRule="auto"/>
        <w:ind w:firstLine="720"/>
        <w:jc w:val="both"/>
        <w:rPr>
          <w:rFonts w:ascii="Avenir Book" w:hAnsi="Avenir Book"/>
        </w:rPr>
      </w:pPr>
      <w:r w:rsidRPr="00657416">
        <w:rPr>
          <w:rFonts w:ascii="Avenir Book" w:hAnsi="Avenir Book"/>
        </w:rPr>
        <w:t>States and local governments can create meaningful parity by requiring that indigent defense providers receive funding equivalent to a certain percentage of that budgeted for prosecutor’s offices.</w:t>
      </w:r>
      <w:r w:rsidRPr="00657416">
        <w:rPr>
          <w:rFonts w:ascii="Avenir Book" w:hAnsi="Avenir Book"/>
          <w:vertAlign w:val="superscript"/>
        </w:rPr>
        <w:endnoteReference w:id="238"/>
      </w:r>
      <w:r w:rsidRPr="00657416">
        <w:rPr>
          <w:rFonts w:ascii="Avenir Book" w:hAnsi="Avenir Book"/>
        </w:rPr>
        <w:t xml:space="preserve"> Alternatively, local governments can simply budget </w:t>
      </w:r>
      <w:r w:rsidR="007B3C37" w:rsidRPr="00657416">
        <w:rPr>
          <w:rFonts w:ascii="Avenir Book" w:hAnsi="Avenir Book"/>
        </w:rPr>
        <w:t>for the</w:t>
      </w:r>
      <w:r w:rsidRPr="00657416">
        <w:rPr>
          <w:rFonts w:ascii="Avenir Book" w:hAnsi="Avenir Book"/>
        </w:rPr>
        <w:t xml:space="preserve"> hiring of more support staff and fund additional resources for defenders.</w:t>
      </w:r>
      <w:r w:rsidRPr="00657416">
        <w:rPr>
          <w:rFonts w:ascii="Avenir Book" w:hAnsi="Avenir Book"/>
          <w:vertAlign w:val="superscript"/>
        </w:rPr>
        <w:endnoteReference w:id="239"/>
      </w:r>
      <w:r w:rsidRPr="00657416">
        <w:rPr>
          <w:rFonts w:ascii="Avenir Book" w:hAnsi="Avenir Book"/>
        </w:rPr>
        <w:t xml:space="preserve"> </w:t>
      </w:r>
      <w:bookmarkStart w:id="33" w:name="_Toc62730388"/>
    </w:p>
    <w:p w14:paraId="386189F4" w14:textId="77777777" w:rsidR="00657416" w:rsidRPr="00657416" w:rsidRDefault="00657416" w:rsidP="00657416">
      <w:pPr>
        <w:spacing w:line="360" w:lineRule="auto"/>
        <w:ind w:firstLine="720"/>
        <w:jc w:val="both"/>
        <w:rPr>
          <w:rFonts w:ascii="Avenir Book" w:hAnsi="Avenir Book"/>
        </w:rPr>
      </w:pPr>
    </w:p>
    <w:p w14:paraId="19C124C7" w14:textId="1ADD4469" w:rsidR="000F6C1C" w:rsidRDefault="000F6C1C" w:rsidP="00657416">
      <w:pPr>
        <w:pStyle w:val="Head3"/>
      </w:pPr>
      <w:r>
        <w:t>Other Funding Considerations</w:t>
      </w:r>
      <w:bookmarkEnd w:id="33"/>
    </w:p>
    <w:p w14:paraId="21ACA2FD" w14:textId="77777777" w:rsidR="000F6C1C" w:rsidRPr="00657416" w:rsidRDefault="000F6C1C" w:rsidP="00657416">
      <w:pPr>
        <w:spacing w:line="360" w:lineRule="auto"/>
        <w:ind w:firstLine="720"/>
        <w:jc w:val="both"/>
        <w:rPr>
          <w:rFonts w:ascii="Avenir Book" w:hAnsi="Avenir Book"/>
          <w:color w:val="000000"/>
        </w:rPr>
      </w:pPr>
      <w:r w:rsidRPr="00657416">
        <w:rPr>
          <w:rFonts w:ascii="Avenir Book" w:hAnsi="Avenir Book"/>
          <w:color w:val="000000"/>
        </w:rPr>
        <w:t xml:space="preserve">There are other important funding considerations relevant to </w:t>
      </w:r>
      <w:r w:rsidRPr="00657416">
        <w:rPr>
          <w:rFonts w:ascii="Avenir Book" w:hAnsi="Avenir Book"/>
          <w:i/>
          <w:color w:val="000000"/>
        </w:rPr>
        <w:t>Gideon</w:t>
      </w:r>
      <w:r w:rsidRPr="00657416">
        <w:rPr>
          <w:rFonts w:ascii="Avenir Book" w:hAnsi="Avenir Book"/>
          <w:color w:val="000000"/>
        </w:rPr>
        <w:t xml:space="preserve">’s constitutional mandate to provide indigent defense services. In </w:t>
      </w:r>
      <w:r w:rsidRPr="00657416">
        <w:rPr>
          <w:rFonts w:ascii="Avenir Book" w:hAnsi="Avenir Book"/>
          <w:i/>
          <w:color w:val="000000"/>
        </w:rPr>
        <w:t>Douglas v. California</w:t>
      </w:r>
      <w:r w:rsidRPr="00657416">
        <w:rPr>
          <w:rFonts w:ascii="Avenir Book" w:hAnsi="Avenir Book"/>
          <w:color w:val="000000"/>
        </w:rPr>
        <w:t>, the Supreme Court recognized that criminal defendants have a constitutional right to effective appellate counsel on their first appeals as of right.</w:t>
      </w:r>
      <w:r w:rsidRPr="00657416">
        <w:rPr>
          <w:rFonts w:ascii="Avenir Book" w:hAnsi="Avenir Book"/>
          <w:color w:val="000000"/>
          <w:vertAlign w:val="superscript"/>
        </w:rPr>
        <w:endnoteReference w:id="240"/>
      </w:r>
      <w:r w:rsidRPr="00657416">
        <w:rPr>
          <w:rFonts w:ascii="Avenir Book" w:hAnsi="Avenir Book"/>
          <w:color w:val="000000"/>
        </w:rPr>
        <w:t xml:space="preserve"> Funding of indigent defense services must thus necessarily cover both trial and appellate level services. </w:t>
      </w:r>
    </w:p>
    <w:p w14:paraId="7FF835BE" w14:textId="7173B425" w:rsidR="00657416" w:rsidRDefault="000F6C1C" w:rsidP="002003A6">
      <w:pPr>
        <w:spacing w:line="360" w:lineRule="auto"/>
        <w:ind w:firstLine="720"/>
        <w:jc w:val="both"/>
        <w:rPr>
          <w:rFonts w:ascii="Avenir Book" w:hAnsi="Avenir Book"/>
          <w:color w:val="000000"/>
        </w:rPr>
      </w:pPr>
      <w:r w:rsidRPr="00657416">
        <w:rPr>
          <w:rFonts w:ascii="Avenir Book" w:hAnsi="Avenir Book"/>
          <w:color w:val="000000"/>
        </w:rPr>
        <w:t>Some states employ different systems to address their obligations for trial level representation and appellate level representation.</w:t>
      </w:r>
      <w:r w:rsidRPr="00657416">
        <w:rPr>
          <w:rFonts w:ascii="Avenir Book" w:hAnsi="Avenir Book"/>
          <w:color w:val="000000"/>
          <w:vertAlign w:val="superscript"/>
        </w:rPr>
        <w:endnoteReference w:id="241"/>
      </w:r>
      <w:r w:rsidRPr="00657416">
        <w:rPr>
          <w:rFonts w:ascii="Avenir Book" w:hAnsi="Avenir Book"/>
          <w:color w:val="000000"/>
        </w:rPr>
        <w:t xml:space="preserve"> </w:t>
      </w:r>
      <w:sdt>
        <w:sdtPr>
          <w:rPr>
            <w:rFonts w:ascii="Avenir Book" w:hAnsi="Avenir Book"/>
          </w:rPr>
          <w:tag w:val="goog_rdk_143"/>
          <w:id w:val="-627240226"/>
        </w:sdtPr>
        <w:sdtEndPr/>
        <w:sdtContent/>
      </w:sdt>
      <w:sdt>
        <w:sdtPr>
          <w:rPr>
            <w:rFonts w:ascii="Avenir Book" w:hAnsi="Avenir Book"/>
          </w:rPr>
          <w:tag w:val="goog_rdk_144"/>
          <w:id w:val="465092308"/>
        </w:sdtPr>
        <w:sdtEndPr/>
        <w:sdtContent/>
      </w:sdt>
      <w:r w:rsidRPr="00657416">
        <w:rPr>
          <w:rFonts w:ascii="Avenir Book" w:hAnsi="Avenir Book"/>
          <w:color w:val="000000"/>
        </w:rPr>
        <w:t xml:space="preserve">Any number of permutations are possible. States that use a statewide funding model may use general state fund </w:t>
      </w:r>
      <w:r w:rsidRPr="00657416">
        <w:rPr>
          <w:rFonts w:ascii="Avenir Book" w:hAnsi="Avenir Book"/>
          <w:color w:val="000000"/>
        </w:rPr>
        <w:lastRenderedPageBreak/>
        <w:t>appropriations for both indigent trial-level services and indigent appellate-level services statewide.</w:t>
      </w:r>
      <w:r w:rsidRPr="00657416">
        <w:rPr>
          <w:rFonts w:ascii="Avenir Book" w:hAnsi="Avenir Book"/>
          <w:color w:val="000000"/>
          <w:vertAlign w:val="superscript"/>
        </w:rPr>
        <w:endnoteReference w:id="242"/>
      </w:r>
      <w:r w:rsidRPr="00657416">
        <w:rPr>
          <w:rFonts w:ascii="Avenir Book" w:hAnsi="Avenir Book"/>
          <w:color w:val="000000"/>
        </w:rPr>
        <w:t xml:space="preserve"> State or local governments that use a public defender system for </w:t>
      </w:r>
      <w:r w:rsidRPr="00657416">
        <w:rPr>
          <w:rFonts w:ascii="Avenir Book" w:hAnsi="Avenir Book"/>
        </w:rPr>
        <w:t>trial-level</w:t>
      </w:r>
      <w:r w:rsidRPr="00657416">
        <w:rPr>
          <w:rFonts w:ascii="Avenir Book" w:hAnsi="Avenir Book"/>
          <w:color w:val="000000"/>
        </w:rPr>
        <w:t xml:space="preserve"> services may use a contract system for appellate representation.</w:t>
      </w:r>
      <w:r w:rsidRPr="00657416">
        <w:rPr>
          <w:rFonts w:ascii="Avenir Book" w:hAnsi="Avenir Book"/>
          <w:color w:val="000000"/>
          <w:vertAlign w:val="superscript"/>
        </w:rPr>
        <w:endnoteReference w:id="243"/>
      </w:r>
      <w:r w:rsidRPr="00657416">
        <w:rPr>
          <w:rFonts w:ascii="Avenir Book" w:hAnsi="Avenir Book"/>
          <w:color w:val="000000"/>
        </w:rPr>
        <w:t xml:space="preserve"> States that use a hybrid funding model may also utilize both state and local government contributions for indigent appellate-level services.</w:t>
      </w:r>
      <w:r w:rsidRPr="00657416">
        <w:rPr>
          <w:rFonts w:ascii="Avenir Book" w:hAnsi="Avenir Book"/>
          <w:color w:val="000000"/>
          <w:vertAlign w:val="superscript"/>
        </w:rPr>
        <w:endnoteReference w:id="244"/>
      </w:r>
      <w:r w:rsidRPr="00657416">
        <w:rPr>
          <w:rFonts w:ascii="Avenir Book" w:hAnsi="Avenir Book"/>
          <w:color w:val="000000"/>
        </w:rPr>
        <w:t xml:space="preserve"> Another option, regardless of the funding model utilized for indigent trial-level services, is for a state to exclusively allocate state funding for indigent appellate-level services.</w:t>
      </w:r>
      <w:r w:rsidRPr="00657416">
        <w:rPr>
          <w:rFonts w:ascii="Avenir Book" w:hAnsi="Avenir Book"/>
          <w:color w:val="000000"/>
          <w:vertAlign w:val="superscript"/>
        </w:rPr>
        <w:endnoteReference w:id="245"/>
      </w:r>
      <w:r w:rsidRPr="00657416">
        <w:rPr>
          <w:rFonts w:ascii="Avenir Book" w:hAnsi="Avenir Book"/>
          <w:color w:val="000000"/>
        </w:rPr>
        <w:t xml:space="preserve"> As an example, in New Jersey the state oversees and funds felony and delinquency cases, while the counties oversee and fund misdemeanor cases.</w:t>
      </w:r>
      <w:r w:rsidRPr="00657416">
        <w:rPr>
          <w:rFonts w:ascii="Avenir Book" w:hAnsi="Avenir Book"/>
          <w:color w:val="000000"/>
          <w:vertAlign w:val="superscript"/>
        </w:rPr>
        <w:endnoteReference w:id="246"/>
      </w:r>
      <w:r w:rsidRPr="00657416">
        <w:rPr>
          <w:rFonts w:ascii="Avenir Book" w:hAnsi="Avenir Book"/>
          <w:color w:val="000000"/>
        </w:rPr>
        <w:t xml:space="preserve"> </w:t>
      </w:r>
      <w:bookmarkStart w:id="34" w:name="_Toc62730389"/>
    </w:p>
    <w:p w14:paraId="7ED2EB5F" w14:textId="77777777" w:rsidR="002003A6" w:rsidRPr="002003A6" w:rsidRDefault="002003A6" w:rsidP="002003A6">
      <w:pPr>
        <w:spacing w:line="360" w:lineRule="auto"/>
        <w:ind w:firstLine="720"/>
        <w:jc w:val="both"/>
        <w:rPr>
          <w:rFonts w:ascii="Avenir Book" w:hAnsi="Avenir Book"/>
          <w:color w:val="000000"/>
        </w:rPr>
      </w:pPr>
    </w:p>
    <w:p w14:paraId="528395EA" w14:textId="140787FA" w:rsidR="00625B11" w:rsidRPr="00625B11" w:rsidRDefault="000E2E79" w:rsidP="00657416">
      <w:pPr>
        <w:pStyle w:val="Head3"/>
      </w:pPr>
      <w:sdt>
        <w:sdtPr>
          <w:tag w:val="goog_rdk_145"/>
          <w:id w:val="-1446304115"/>
        </w:sdtPr>
        <w:sdtEndPr/>
        <w:sdtContent/>
      </w:sdt>
      <w:sdt>
        <w:sdtPr>
          <w:tag w:val="goog_rdk_146"/>
          <w:id w:val="1036626954"/>
        </w:sdtPr>
        <w:sdtEndPr/>
        <w:sdtContent/>
      </w:sdt>
      <w:r w:rsidR="000F6C1C" w:rsidRPr="00657416">
        <w:t>The Landscape in Montgomery County</w:t>
      </w:r>
      <w:bookmarkEnd w:id="34"/>
    </w:p>
    <w:p w14:paraId="1D1B21E1" w14:textId="742E0289" w:rsidR="00967CFC" w:rsidRPr="00657416" w:rsidRDefault="00967CFC" w:rsidP="00657416">
      <w:pPr>
        <w:spacing w:line="360" w:lineRule="auto"/>
        <w:ind w:firstLine="720"/>
        <w:jc w:val="both"/>
        <w:rPr>
          <w:rFonts w:ascii="Avenir Book" w:hAnsi="Avenir Book"/>
        </w:rPr>
      </w:pPr>
      <w:r w:rsidRPr="00657416">
        <w:rPr>
          <w:rFonts w:ascii="Avenir Book" w:hAnsi="Avenir Book"/>
        </w:rPr>
        <w:t>Montgomery County currently employs a public defender model for the representation of indigent defendants.</w:t>
      </w:r>
      <w:r w:rsidR="00A06D6F" w:rsidRPr="00657416">
        <w:rPr>
          <w:rFonts w:ascii="Avenir Book" w:hAnsi="Avenir Book"/>
        </w:rPr>
        <w:t xml:space="preserve"> Conflict counsel are available when the Defender is unable to handle a particular case, as in the instance of codefendant prosecutions.</w:t>
      </w:r>
      <w:r w:rsidRPr="00657416">
        <w:rPr>
          <w:rFonts w:ascii="Avenir Book" w:hAnsi="Avenir Book"/>
        </w:rPr>
        <w:t xml:space="preserve"> </w:t>
      </w:r>
    </w:p>
    <w:p w14:paraId="34EF6F7C" w14:textId="69C0F07E" w:rsidR="00967CFC" w:rsidRPr="00657416" w:rsidRDefault="00602F2E" w:rsidP="00657416">
      <w:pPr>
        <w:spacing w:line="360" w:lineRule="auto"/>
        <w:ind w:firstLine="720"/>
        <w:jc w:val="both"/>
        <w:rPr>
          <w:rFonts w:ascii="Avenir Book" w:hAnsi="Avenir Book"/>
        </w:rPr>
      </w:pPr>
      <w:r w:rsidRPr="00657416">
        <w:rPr>
          <w:rFonts w:ascii="Avenir Book" w:hAnsi="Avenir Book"/>
        </w:rPr>
        <w:t xml:space="preserve">The Office of the Public Defender is fully funded by Montgomery County through an annual appropriation from the </w:t>
      </w:r>
      <w:r w:rsidR="00B30E45" w:rsidRPr="00657416">
        <w:rPr>
          <w:rFonts w:ascii="Avenir Book" w:hAnsi="Avenir Book"/>
        </w:rPr>
        <w:t xml:space="preserve">County Commission. As discussed in this Report’s “Background” section, the amount of funding granted to the office has steadily increased over the last decade and is on track to continue to increase in the upcoming budget cycle. </w:t>
      </w:r>
      <w:r w:rsidR="00967CFC" w:rsidRPr="00657416">
        <w:rPr>
          <w:rFonts w:ascii="Avenir Book" w:hAnsi="Avenir Book"/>
        </w:rPr>
        <w:t xml:space="preserve">The continued commitment to funding the Office has allowed the Office to hire additional attorneys and support staff (including investigators and social workers); acquire new technology; and restructure certain practices within the offices, such as creating a Chief of Pretrial Services </w:t>
      </w:r>
      <w:r w:rsidR="004F73B5" w:rsidRPr="00657416">
        <w:rPr>
          <w:rFonts w:ascii="Avenir Book" w:hAnsi="Avenir Book"/>
        </w:rPr>
        <w:t xml:space="preserve">and Chief of Mental Health </w:t>
      </w:r>
      <w:r w:rsidR="00967CFC" w:rsidRPr="00657416">
        <w:rPr>
          <w:rFonts w:ascii="Avenir Book" w:hAnsi="Avenir Book"/>
        </w:rPr>
        <w:t xml:space="preserve">position. </w:t>
      </w:r>
    </w:p>
    <w:p w14:paraId="6094AB1B" w14:textId="22A1A0A5" w:rsidR="000F6C1C" w:rsidRPr="00657416" w:rsidRDefault="006D6C95" w:rsidP="00657416">
      <w:pPr>
        <w:spacing w:line="360" w:lineRule="auto"/>
        <w:ind w:firstLine="720"/>
        <w:jc w:val="both"/>
        <w:rPr>
          <w:rFonts w:ascii="Avenir Book" w:hAnsi="Avenir Book"/>
        </w:rPr>
      </w:pPr>
      <w:r w:rsidRPr="00657416">
        <w:rPr>
          <w:rFonts w:ascii="Avenir Book" w:hAnsi="Avenir Book"/>
        </w:rPr>
        <w:t>Both the Office and the Commission have taken also steps to investigate the question of pay parity. In 2018, the Office completed a salary study to determine whether public defender salaries in the county were competitive with district attorney salaries in the county.</w:t>
      </w:r>
      <w:r w:rsidRPr="00657416">
        <w:rPr>
          <w:rFonts w:ascii="Avenir Book" w:hAnsi="Avenir Book"/>
          <w:vertAlign w:val="superscript"/>
        </w:rPr>
        <w:endnoteReference w:id="247"/>
      </w:r>
      <w:r w:rsidRPr="00657416">
        <w:rPr>
          <w:rFonts w:ascii="Avenir Book" w:hAnsi="Avenir Book"/>
        </w:rPr>
        <w:t xml:space="preserve"> The study also compared Montgomery County public defender salaries </w:t>
      </w:r>
      <w:r w:rsidRPr="00657416">
        <w:rPr>
          <w:rFonts w:ascii="Avenir Book" w:hAnsi="Avenir Book"/>
        </w:rPr>
        <w:lastRenderedPageBreak/>
        <w:t>with salaries in other counties. This work resulted in pay increases for employees.</w:t>
      </w:r>
      <w:r w:rsidRPr="00657416">
        <w:rPr>
          <w:rFonts w:ascii="Avenir Book" w:hAnsi="Avenir Book"/>
          <w:vertAlign w:val="superscript"/>
        </w:rPr>
        <w:endnoteReference w:id="248"/>
      </w:r>
      <w:r w:rsidRPr="00657416">
        <w:rPr>
          <w:rFonts w:ascii="Avenir Book" w:hAnsi="Avenir Book"/>
        </w:rPr>
        <w:t xml:space="preserve"> </w:t>
      </w:r>
      <w:r w:rsidR="00B30E45" w:rsidRPr="00657416">
        <w:rPr>
          <w:rFonts w:ascii="Avenir Book" w:hAnsi="Avenir Book"/>
        </w:rPr>
        <w:t xml:space="preserve">However, there is still </w:t>
      </w:r>
      <w:r w:rsidRPr="00657416">
        <w:rPr>
          <w:rFonts w:ascii="Avenir Book" w:hAnsi="Avenir Book"/>
        </w:rPr>
        <w:t>an apparent</w:t>
      </w:r>
      <w:r w:rsidR="00B30E45" w:rsidRPr="00657416">
        <w:rPr>
          <w:rFonts w:ascii="Avenir Book" w:hAnsi="Avenir Book"/>
        </w:rPr>
        <w:t xml:space="preserve"> disparity between the funding levels allocated to the District Attorney’s Office and the Public Defender Office. </w:t>
      </w:r>
      <w:r w:rsidRPr="00657416">
        <w:rPr>
          <w:rFonts w:ascii="Avenir Book" w:hAnsi="Avenir Book"/>
        </w:rPr>
        <w:t>(Whether the disparity is justified based on differences in workload, as noted above, requires further study.)</w:t>
      </w:r>
    </w:p>
    <w:p w14:paraId="2184A058" w14:textId="3C58D39A" w:rsidR="000F6C1C" w:rsidRPr="00657416" w:rsidRDefault="004F73B5" w:rsidP="00657416">
      <w:pPr>
        <w:spacing w:line="360" w:lineRule="auto"/>
        <w:ind w:firstLine="720"/>
        <w:jc w:val="both"/>
        <w:rPr>
          <w:rFonts w:ascii="Avenir Book" w:hAnsi="Avenir Book"/>
        </w:rPr>
      </w:pPr>
      <w:r w:rsidRPr="00657416">
        <w:rPr>
          <w:rFonts w:ascii="Avenir Book" w:hAnsi="Avenir Book"/>
        </w:rPr>
        <w:t xml:space="preserve">In our interviews with current employees, we received almost universal feedback that </w:t>
      </w:r>
      <w:r w:rsidR="000F6C1C" w:rsidRPr="00657416">
        <w:rPr>
          <w:rFonts w:ascii="Avenir Book" w:hAnsi="Avenir Book"/>
        </w:rPr>
        <w:t xml:space="preserve">additional funding would </w:t>
      </w:r>
      <w:r w:rsidR="004F1885" w:rsidRPr="00657416">
        <w:rPr>
          <w:rFonts w:ascii="Avenir Book" w:hAnsi="Avenir Book"/>
        </w:rPr>
        <w:t>provide the support necessary for their role in the justice system</w:t>
      </w:r>
      <w:r w:rsidR="000F6C1C" w:rsidRPr="00657416">
        <w:rPr>
          <w:rFonts w:ascii="Avenir Book" w:hAnsi="Avenir Book"/>
        </w:rPr>
        <w:t>. Some employees stated that additional funding is needed for training, some stated that the employees deserve to be paid more, and others stated that more funding should be put toward use of experts.</w:t>
      </w:r>
      <w:r w:rsidR="000F6C1C" w:rsidRPr="00657416">
        <w:rPr>
          <w:rFonts w:ascii="Avenir Book" w:hAnsi="Avenir Book"/>
          <w:vertAlign w:val="superscript"/>
        </w:rPr>
        <w:endnoteReference w:id="249"/>
      </w:r>
      <w:r w:rsidR="000F6C1C" w:rsidRPr="00657416">
        <w:rPr>
          <w:rFonts w:ascii="Avenir Book" w:hAnsi="Avenir Book"/>
        </w:rPr>
        <w:t xml:space="preserve"> </w:t>
      </w:r>
      <w:r w:rsidR="00EE6872" w:rsidRPr="00657416">
        <w:rPr>
          <w:rFonts w:ascii="Avenir Book" w:hAnsi="Avenir Book"/>
        </w:rPr>
        <w:t>S</w:t>
      </w:r>
      <w:r w:rsidR="000F6C1C" w:rsidRPr="00657416">
        <w:rPr>
          <w:rFonts w:ascii="Avenir Book" w:hAnsi="Avenir Book"/>
        </w:rPr>
        <w:t>ome employees express</w:t>
      </w:r>
      <w:r w:rsidR="00EE6872" w:rsidRPr="00657416">
        <w:rPr>
          <w:rFonts w:ascii="Avenir Book" w:hAnsi="Avenir Book"/>
        </w:rPr>
        <w:t>ed</w:t>
      </w:r>
      <w:r w:rsidR="000F6C1C" w:rsidRPr="00657416">
        <w:rPr>
          <w:rFonts w:ascii="Avenir Book" w:hAnsi="Avenir Book"/>
        </w:rPr>
        <w:t xml:space="preserve"> concern that public defender salaries are not on par with district attorney salaries beyond the entry-level attorney positions and felt that there was a lack of financial incentive for defense attorneys to stay with the Office long-term.</w:t>
      </w:r>
      <w:r w:rsidR="000F6C1C" w:rsidRPr="00657416">
        <w:rPr>
          <w:rFonts w:ascii="Avenir Book" w:hAnsi="Avenir Book"/>
          <w:vertAlign w:val="superscript"/>
        </w:rPr>
        <w:endnoteReference w:id="250"/>
      </w:r>
      <w:r w:rsidR="00EE6872" w:rsidRPr="00657416">
        <w:rPr>
          <w:rFonts w:ascii="Avenir Book" w:hAnsi="Avenir Book"/>
        </w:rPr>
        <w:t xml:space="preserve"> </w:t>
      </w:r>
    </w:p>
    <w:p w14:paraId="0EB151D5" w14:textId="13BD4A3D" w:rsidR="00657416" w:rsidRDefault="00625B11" w:rsidP="00B77C7F">
      <w:pPr>
        <w:spacing w:line="360" w:lineRule="auto"/>
        <w:ind w:firstLine="720"/>
        <w:jc w:val="both"/>
        <w:rPr>
          <w:rFonts w:ascii="Avenir Book" w:hAnsi="Avenir Book"/>
        </w:rPr>
      </w:pPr>
      <w:r w:rsidRPr="00657416">
        <w:rPr>
          <w:rFonts w:ascii="Avenir Book" w:hAnsi="Avenir Book"/>
        </w:rPr>
        <w:t xml:space="preserve">No attorneys expressed concerns about being funded for auxiliary services such as expert witnesses or access to specialized technology. The process for receiving funds for auxiliary services is internal to the Office; any attorney making such a request does so to the Chief Defender, who has the authority to approve </w:t>
      </w:r>
      <w:r w:rsidR="002003A6">
        <w:rPr>
          <w:rFonts w:ascii="Avenir Book" w:hAnsi="Avenir Book"/>
        </w:rPr>
        <w:t>the</w:t>
      </w:r>
      <w:r w:rsidRPr="00657416">
        <w:rPr>
          <w:rFonts w:ascii="Avenir Book" w:hAnsi="Avenir Book"/>
        </w:rPr>
        <w:t xml:space="preserve"> requests without consultation with the judiciary or the executive.</w:t>
      </w:r>
    </w:p>
    <w:p w14:paraId="1D45E8A9" w14:textId="77777777" w:rsidR="00B77C7F" w:rsidRPr="00657416" w:rsidRDefault="00B77C7F" w:rsidP="00B77C7F">
      <w:pPr>
        <w:spacing w:line="360" w:lineRule="auto"/>
        <w:ind w:firstLine="720"/>
        <w:jc w:val="both"/>
        <w:rPr>
          <w:rFonts w:ascii="Avenir Book" w:hAnsi="Avenir Book"/>
        </w:rPr>
      </w:pPr>
    </w:p>
    <w:p w14:paraId="6E301854" w14:textId="6469FCE3" w:rsidR="00625B11" w:rsidRDefault="00625B11" w:rsidP="00B77C7F">
      <w:pPr>
        <w:pStyle w:val="Head3"/>
      </w:pPr>
      <w:bookmarkStart w:id="35" w:name="_Toc62730390"/>
      <w:r>
        <w:t>Conclusion</w:t>
      </w:r>
      <w:bookmarkEnd w:id="35"/>
    </w:p>
    <w:p w14:paraId="51745FFD" w14:textId="26592737" w:rsidR="00B77C7F" w:rsidRPr="002003A6" w:rsidRDefault="00EE6872" w:rsidP="002003A6">
      <w:pPr>
        <w:spacing w:line="360" w:lineRule="auto"/>
        <w:ind w:firstLine="720"/>
        <w:jc w:val="both"/>
        <w:rPr>
          <w:rFonts w:ascii="Avenir Book" w:hAnsi="Avenir Book"/>
        </w:rPr>
      </w:pPr>
      <w:r w:rsidRPr="00657416">
        <w:rPr>
          <w:rFonts w:ascii="Avenir Book" w:hAnsi="Avenir Book"/>
        </w:rPr>
        <w:t xml:space="preserve">Montgomery County has taken great steps to fund the Office of the Public Defender at a level that allows the Office to provide quality indigent defense representation </w:t>
      </w:r>
      <w:r w:rsidR="003F6570" w:rsidRPr="00657416">
        <w:rPr>
          <w:rFonts w:ascii="Avenir Book" w:hAnsi="Avenir Book"/>
        </w:rPr>
        <w:t>throughout</w:t>
      </w:r>
      <w:r w:rsidRPr="00657416">
        <w:rPr>
          <w:rFonts w:ascii="Avenir Book" w:hAnsi="Avenir Book"/>
        </w:rPr>
        <w:t xml:space="preserve"> the county.</w:t>
      </w:r>
      <w:r w:rsidR="003F6570" w:rsidRPr="00657416">
        <w:rPr>
          <w:rFonts w:ascii="Avenir Book" w:hAnsi="Avenir Book"/>
        </w:rPr>
        <w:t xml:space="preserve"> </w:t>
      </w:r>
      <w:r w:rsidR="00461D9F" w:rsidRPr="00657416">
        <w:rPr>
          <w:rFonts w:ascii="Avenir Book" w:hAnsi="Avenir Book"/>
        </w:rPr>
        <w:t>The</w:t>
      </w:r>
      <w:r w:rsidR="003F6570" w:rsidRPr="00657416">
        <w:rPr>
          <w:rFonts w:ascii="Avenir Book" w:hAnsi="Avenir Book"/>
        </w:rPr>
        <w:t xml:space="preserve"> County </w:t>
      </w:r>
      <w:r w:rsidR="00461D9F" w:rsidRPr="00657416">
        <w:rPr>
          <w:rFonts w:ascii="Avenir Book" w:hAnsi="Avenir Book"/>
        </w:rPr>
        <w:t>is aware of, and has been responsive to</w:t>
      </w:r>
      <w:r w:rsidR="00D80364" w:rsidRPr="00657416">
        <w:rPr>
          <w:rFonts w:ascii="Avenir Book" w:hAnsi="Avenir Book"/>
        </w:rPr>
        <w:t>,</w:t>
      </w:r>
      <w:r w:rsidR="00461D9F" w:rsidRPr="00657416">
        <w:rPr>
          <w:rFonts w:ascii="Avenir Book" w:hAnsi="Avenir Book"/>
        </w:rPr>
        <w:t xml:space="preserve"> issues of parity regarding both pay and resources. </w:t>
      </w:r>
      <w:r w:rsidR="006D6C95" w:rsidRPr="00657416">
        <w:rPr>
          <w:rFonts w:ascii="Avenir Book" w:hAnsi="Avenir Book"/>
        </w:rPr>
        <w:t>Nevertheless, apparent disparities in funding as between the defender’s office and the district attorney’s office warrant continued attention.</w:t>
      </w:r>
      <w:bookmarkStart w:id="36" w:name="_Toc62730391"/>
      <w:r w:rsidR="00B77C7F">
        <w:br w:type="page"/>
      </w:r>
    </w:p>
    <w:p w14:paraId="4B37AAC6" w14:textId="1DFB6C3F" w:rsidR="008063CA" w:rsidRPr="009312EE" w:rsidRDefault="00461D9F" w:rsidP="009312EE">
      <w:pPr>
        <w:pStyle w:val="HEAD2"/>
      </w:pPr>
      <w:r w:rsidRPr="00461D9F">
        <w:lastRenderedPageBreak/>
        <w:t>LITIGATION AND RISK MITIGATION</w:t>
      </w:r>
      <w:bookmarkEnd w:id="36"/>
      <w:r w:rsidRPr="00461D9F">
        <w:t xml:space="preserve"> </w:t>
      </w:r>
    </w:p>
    <w:p w14:paraId="2870F2D8" w14:textId="7893421A" w:rsidR="009312EE" w:rsidRDefault="008063CA" w:rsidP="00B77C7F">
      <w:pPr>
        <w:spacing w:line="360" w:lineRule="auto"/>
        <w:ind w:firstLine="720"/>
        <w:jc w:val="both"/>
        <w:rPr>
          <w:rFonts w:ascii="Avenir Book" w:hAnsi="Avenir Book"/>
          <w:color w:val="000000"/>
        </w:rPr>
      </w:pPr>
      <w:r w:rsidRPr="009312EE">
        <w:rPr>
          <w:rFonts w:ascii="Avenir Book" w:hAnsi="Avenir Book"/>
          <w:color w:val="000000"/>
        </w:rPr>
        <w:t>In the last decade, public defender systems throughout the nation have faced civil lawsuits alleging that their practices violate the Constitutional rights of their clients</w:t>
      </w:r>
      <w:r w:rsidR="00457507" w:rsidRPr="009312EE">
        <w:rPr>
          <w:rFonts w:ascii="Avenir Book" w:hAnsi="Avenir Book"/>
          <w:color w:val="000000"/>
        </w:rPr>
        <w:t xml:space="preserve"> under the Sixth and Fourteenth Amendments</w:t>
      </w:r>
      <w:r w:rsidRPr="009312EE">
        <w:rPr>
          <w:rFonts w:ascii="Avenir Book" w:hAnsi="Avenir Book"/>
          <w:color w:val="000000"/>
        </w:rPr>
        <w:t xml:space="preserve">. </w:t>
      </w:r>
      <w:r w:rsidR="00457507" w:rsidRPr="009312EE">
        <w:rPr>
          <w:rFonts w:ascii="Avenir Book" w:hAnsi="Avenir Book"/>
          <w:color w:val="000000"/>
        </w:rPr>
        <w:t xml:space="preserve">The general aim of these lawsuits is to reform practices within public defender systems that client advocates claim fall below the minimum standards for adequate representation; the specific aim is often to force state and local governments to allocate additional funding to those systems. </w:t>
      </w:r>
    </w:p>
    <w:p w14:paraId="7827DC36" w14:textId="77777777" w:rsidR="00B77C7F" w:rsidRDefault="00B77C7F" w:rsidP="009312EE">
      <w:pPr>
        <w:pStyle w:val="Head3"/>
      </w:pPr>
      <w:bookmarkStart w:id="37" w:name="_Toc62730392"/>
    </w:p>
    <w:p w14:paraId="48FA74A8" w14:textId="1414AC6F" w:rsidR="00766378" w:rsidRPr="00766378" w:rsidRDefault="00766378" w:rsidP="009312EE">
      <w:pPr>
        <w:pStyle w:val="Head3"/>
      </w:pPr>
      <w:r w:rsidRPr="009312EE">
        <w:t>Litigation Overview</w:t>
      </w:r>
      <w:bookmarkEnd w:id="37"/>
    </w:p>
    <w:p w14:paraId="08D737CE" w14:textId="3AA1A18D" w:rsidR="00BE280E" w:rsidRPr="009312EE" w:rsidRDefault="00BE280E" w:rsidP="009312EE">
      <w:pPr>
        <w:spacing w:line="360" w:lineRule="auto"/>
        <w:ind w:firstLine="720"/>
        <w:jc w:val="both"/>
        <w:rPr>
          <w:rFonts w:ascii="Avenir Book" w:hAnsi="Avenir Book"/>
          <w:color w:val="000000"/>
        </w:rPr>
      </w:pPr>
      <w:r w:rsidRPr="009312EE">
        <w:rPr>
          <w:rFonts w:ascii="Avenir Book" w:hAnsi="Avenir Book"/>
          <w:color w:val="000000"/>
        </w:rPr>
        <w:t xml:space="preserve">In recent years, lawsuits have been brought in both federal and state courts raising systemic challenges to public defender offices.  The essence of the claims has been that the offices failed to provide </w:t>
      </w:r>
      <w:r w:rsidR="004432C2" w:rsidRPr="009312EE">
        <w:rPr>
          <w:rFonts w:ascii="Avenir Book" w:hAnsi="Avenir Book"/>
          <w:color w:val="000000"/>
        </w:rPr>
        <w:t>constitutionally adequate representation</w:t>
      </w:r>
      <w:r w:rsidRPr="009312EE">
        <w:rPr>
          <w:rFonts w:ascii="Avenir Book" w:hAnsi="Avenir Book"/>
          <w:color w:val="000000"/>
        </w:rPr>
        <w:t>.</w:t>
      </w:r>
      <w:r w:rsidRPr="009312EE">
        <w:rPr>
          <w:rStyle w:val="EndnoteReference"/>
          <w:rFonts w:ascii="Avenir Book" w:hAnsi="Avenir Book"/>
          <w:color w:val="000000"/>
        </w:rPr>
        <w:endnoteReference w:id="251"/>
      </w:r>
      <w:r w:rsidRPr="009312EE">
        <w:rPr>
          <w:rFonts w:ascii="Avenir Book" w:hAnsi="Avenir Book"/>
          <w:color w:val="000000"/>
        </w:rPr>
        <w:t xml:space="preserve"> </w:t>
      </w:r>
    </w:p>
    <w:p w14:paraId="1F855B06" w14:textId="4E4E54D6" w:rsidR="00957927" w:rsidRPr="009312EE" w:rsidRDefault="00D120A1" w:rsidP="009312EE">
      <w:pPr>
        <w:spacing w:line="360" w:lineRule="auto"/>
        <w:ind w:firstLine="720"/>
        <w:jc w:val="both"/>
        <w:rPr>
          <w:rFonts w:ascii="Avenir Book" w:hAnsi="Avenir Book"/>
          <w:color w:val="000000"/>
        </w:rPr>
      </w:pPr>
      <w:r w:rsidRPr="009312EE">
        <w:rPr>
          <w:rFonts w:ascii="Avenir Book" w:hAnsi="Avenir Book"/>
          <w:color w:val="000000"/>
        </w:rPr>
        <w:t xml:space="preserve">In </w:t>
      </w:r>
      <w:r w:rsidRPr="009312EE">
        <w:rPr>
          <w:rFonts w:ascii="Avenir Book" w:hAnsi="Avenir Book"/>
          <w:i/>
          <w:color w:val="000000"/>
        </w:rPr>
        <w:t>Bender v. Washington</w:t>
      </w:r>
      <w:r w:rsidR="004C5FB9" w:rsidRPr="009312EE">
        <w:rPr>
          <w:rFonts w:ascii="Avenir Book" w:hAnsi="Avenir Book"/>
          <w:color w:val="000000"/>
        </w:rPr>
        <w:t xml:space="preserve"> (2019)</w:t>
      </w:r>
      <w:r w:rsidRPr="009312EE">
        <w:rPr>
          <w:rFonts w:ascii="Avenir Book" w:hAnsi="Avenir Book"/>
          <w:color w:val="000000"/>
        </w:rPr>
        <w:t xml:space="preserve">, </w:t>
      </w:r>
      <w:r w:rsidR="006D6C70" w:rsidRPr="009312EE">
        <w:rPr>
          <w:rFonts w:ascii="Avenir Book" w:hAnsi="Avenir Book"/>
          <w:color w:val="000000"/>
        </w:rPr>
        <w:t>a dozen named plaintiffs who had been represented</w:t>
      </w:r>
      <w:r w:rsidR="00893947" w:rsidRPr="009312EE">
        <w:rPr>
          <w:rFonts w:ascii="Avenir Book" w:hAnsi="Avenir Book"/>
          <w:color w:val="000000"/>
        </w:rPr>
        <w:t xml:space="preserve"> in criminal proceedings</w:t>
      </w:r>
      <w:r w:rsidR="006D6C70" w:rsidRPr="009312EE">
        <w:rPr>
          <w:rFonts w:ascii="Avenir Book" w:hAnsi="Avenir Book"/>
          <w:color w:val="000000"/>
        </w:rPr>
        <w:t xml:space="preserve"> by the Wisconsin State Public Defender’s Office</w:t>
      </w:r>
      <w:r w:rsidR="00AF67BF" w:rsidRPr="009312EE">
        <w:rPr>
          <w:rFonts w:ascii="Avenir Book" w:hAnsi="Avenir Book"/>
          <w:color w:val="000000"/>
        </w:rPr>
        <w:t xml:space="preserve"> alleged the State had violated their rights by, among other things, not providing adequate training and compensation to defense attorneys.</w:t>
      </w:r>
      <w:r w:rsidR="00957927" w:rsidRPr="009312EE">
        <w:rPr>
          <w:rStyle w:val="EndnoteReference"/>
          <w:rFonts w:ascii="Avenir Book" w:hAnsi="Avenir Book"/>
          <w:color w:val="000000"/>
        </w:rPr>
        <w:t xml:space="preserve"> </w:t>
      </w:r>
      <w:r w:rsidR="00957927" w:rsidRPr="009312EE">
        <w:rPr>
          <w:rStyle w:val="EndnoteReference"/>
          <w:rFonts w:ascii="Avenir Book" w:hAnsi="Avenir Book"/>
          <w:color w:val="000000"/>
        </w:rPr>
        <w:endnoteReference w:id="252"/>
      </w:r>
      <w:r w:rsidR="00BE280E" w:rsidRPr="009312EE">
        <w:rPr>
          <w:rFonts w:ascii="Avenir Book" w:hAnsi="Avenir Book"/>
          <w:color w:val="000000"/>
        </w:rPr>
        <w:t xml:space="preserve"> </w:t>
      </w:r>
      <w:r w:rsidR="00957927" w:rsidRPr="009312EE">
        <w:rPr>
          <w:rFonts w:ascii="Avenir Book" w:hAnsi="Avenir Book"/>
          <w:color w:val="000000"/>
        </w:rPr>
        <w:t>Plaintiffs requested a declaratory judgment that their rights had been violated, monetary damages, and several forms of injunctive relief.</w:t>
      </w:r>
    </w:p>
    <w:p w14:paraId="1F1FCCB8" w14:textId="77777777" w:rsidR="00957927" w:rsidRPr="009312EE" w:rsidRDefault="00957927" w:rsidP="009312EE">
      <w:pPr>
        <w:spacing w:line="360" w:lineRule="auto"/>
        <w:ind w:firstLine="720"/>
        <w:jc w:val="both"/>
        <w:rPr>
          <w:rFonts w:ascii="Avenir Book" w:hAnsi="Avenir Book"/>
          <w:color w:val="000000"/>
        </w:rPr>
      </w:pPr>
      <w:r w:rsidRPr="009312EE">
        <w:rPr>
          <w:rFonts w:ascii="Avenir Book" w:hAnsi="Avenir Book"/>
          <w:color w:val="000000"/>
        </w:rPr>
        <w:t>Because of the procedural posture of the case, the court did not make factual findings regarding the practices of the public defender office; however, it did present a litany of alleged failings, including structural problems in the system which sometimes left defendants unrepresented during parts of their proceeding. The court highlighted allegations that some PDs were “not provided adequate training and mentorship,” and that low compensation to appointed counsel limited “counsel’s ability to engage in discovery, fact investigation, expert discovery, and trial preparation.”</w:t>
      </w:r>
    </w:p>
    <w:p w14:paraId="21FD76B4" w14:textId="7628288D" w:rsidR="00957927" w:rsidRPr="009312EE" w:rsidRDefault="00957927" w:rsidP="009312EE">
      <w:pPr>
        <w:spacing w:line="360" w:lineRule="auto"/>
        <w:ind w:firstLine="720"/>
        <w:jc w:val="both"/>
        <w:rPr>
          <w:rFonts w:ascii="Avenir Book" w:hAnsi="Avenir Book"/>
          <w:color w:val="000000"/>
        </w:rPr>
      </w:pPr>
      <w:r w:rsidRPr="009312EE">
        <w:rPr>
          <w:rFonts w:ascii="Avenir Book" w:hAnsi="Avenir Book"/>
          <w:color w:val="000000"/>
        </w:rPr>
        <w:lastRenderedPageBreak/>
        <w:t xml:space="preserve">State and local governments often respond to federal suits alleging Constitutional violations arising from the failure to provide adequate indigent representation by imploring the courts to invoke the </w:t>
      </w:r>
      <w:r w:rsidRPr="009312EE">
        <w:rPr>
          <w:rFonts w:ascii="Avenir Book" w:hAnsi="Avenir Book"/>
          <w:i/>
          <w:color w:val="000000"/>
        </w:rPr>
        <w:t>Younger</w:t>
      </w:r>
      <w:r w:rsidRPr="009312EE">
        <w:rPr>
          <w:rFonts w:ascii="Avenir Book" w:hAnsi="Avenir Book"/>
          <w:color w:val="000000"/>
        </w:rPr>
        <w:t xml:space="preserve"> abstention doctrine. In </w:t>
      </w:r>
      <w:r w:rsidRPr="009312EE">
        <w:rPr>
          <w:rFonts w:ascii="Avenir Book" w:hAnsi="Avenir Book"/>
          <w:i/>
          <w:color w:val="000000"/>
        </w:rPr>
        <w:t>Younger v. Harris</w:t>
      </w:r>
      <w:r w:rsidRPr="009312EE">
        <w:rPr>
          <w:rFonts w:ascii="Avenir Book" w:hAnsi="Avenir Book"/>
          <w:color w:val="000000"/>
        </w:rPr>
        <w:t>, the Supreme Court held that federal courts should not enjoin state criminal proceedings, except in cases involving irreparable injury.</w:t>
      </w:r>
      <w:r w:rsidR="00F707A4" w:rsidRPr="00F707A4">
        <w:rPr>
          <w:rStyle w:val="EndnoteReference"/>
          <w:rFonts w:ascii="Avenir Book" w:hAnsi="Avenir Book"/>
          <w:color w:val="000000"/>
        </w:rPr>
        <w:t xml:space="preserve"> </w:t>
      </w:r>
      <w:r w:rsidR="00F707A4" w:rsidRPr="009312EE">
        <w:rPr>
          <w:rStyle w:val="EndnoteReference"/>
          <w:rFonts w:ascii="Avenir Book" w:hAnsi="Avenir Book"/>
          <w:color w:val="000000"/>
        </w:rPr>
        <w:endnoteReference w:id="253"/>
      </w:r>
      <w:r w:rsidR="00F707A4" w:rsidRPr="009312EE">
        <w:rPr>
          <w:rFonts w:ascii="Avenir Book" w:hAnsi="Avenir Book"/>
          <w:color w:val="000000"/>
        </w:rPr>
        <w:t xml:space="preserve"> </w:t>
      </w:r>
      <w:r w:rsidRPr="009312EE">
        <w:rPr>
          <w:rFonts w:ascii="Avenir Book" w:hAnsi="Avenir Book"/>
          <w:color w:val="000000"/>
        </w:rPr>
        <w:t xml:space="preserve"> The idea of abstention is grounded in the principles of federalism, and based on the notion that federal courts should not normally interfere with state courts</w:t>
      </w:r>
      <w:r w:rsidR="00F707A4">
        <w:rPr>
          <w:rFonts w:ascii="Avenir Book" w:hAnsi="Avenir Book"/>
          <w:color w:val="000000"/>
        </w:rPr>
        <w:t>, and that offering injunctive relief in these cases would necessarily interfere with ongoing and future criminal prosecutions</w:t>
      </w:r>
      <w:r w:rsidRPr="009312EE">
        <w:rPr>
          <w:rFonts w:ascii="Avenir Book" w:hAnsi="Avenir Book"/>
          <w:color w:val="000000"/>
        </w:rPr>
        <w:t>.</w:t>
      </w:r>
      <w:r w:rsidR="00F707A4" w:rsidRPr="00F707A4">
        <w:rPr>
          <w:rStyle w:val="EndnoteReference"/>
          <w:rFonts w:ascii="Avenir Book" w:hAnsi="Avenir Book"/>
          <w:color w:val="000000"/>
        </w:rPr>
        <w:t xml:space="preserve"> </w:t>
      </w:r>
      <w:r w:rsidR="00F707A4" w:rsidRPr="009312EE">
        <w:rPr>
          <w:rStyle w:val="EndnoteReference"/>
          <w:rFonts w:ascii="Avenir Book" w:hAnsi="Avenir Book"/>
          <w:color w:val="000000"/>
        </w:rPr>
        <w:endnoteReference w:id="254"/>
      </w:r>
    </w:p>
    <w:p w14:paraId="2E19640B" w14:textId="60CDD731" w:rsidR="00957927" w:rsidRPr="009312EE" w:rsidRDefault="00957927" w:rsidP="009312EE">
      <w:pPr>
        <w:spacing w:line="360" w:lineRule="auto"/>
        <w:ind w:firstLine="720"/>
        <w:jc w:val="both"/>
        <w:rPr>
          <w:rFonts w:ascii="Avenir Book" w:hAnsi="Avenir Book"/>
          <w:color w:val="000000"/>
        </w:rPr>
      </w:pPr>
      <w:r w:rsidRPr="009312EE">
        <w:rPr>
          <w:rFonts w:ascii="Avenir Book" w:hAnsi="Avenir Book"/>
          <w:color w:val="000000"/>
        </w:rPr>
        <w:t xml:space="preserve">Predictably, the court in </w:t>
      </w:r>
      <w:r w:rsidRPr="009312EE">
        <w:rPr>
          <w:rFonts w:ascii="Avenir Book" w:hAnsi="Avenir Book"/>
          <w:i/>
          <w:color w:val="000000"/>
        </w:rPr>
        <w:t>Bender</w:t>
      </w:r>
      <w:r w:rsidRPr="009312EE">
        <w:rPr>
          <w:rFonts w:ascii="Avenir Book" w:hAnsi="Avenir Book"/>
          <w:color w:val="000000"/>
        </w:rPr>
        <w:t xml:space="preserve"> </w:t>
      </w:r>
      <w:r w:rsidR="00F707A4">
        <w:rPr>
          <w:rFonts w:ascii="Avenir Book" w:hAnsi="Avenir Book"/>
          <w:color w:val="000000"/>
        </w:rPr>
        <w:t>based</w:t>
      </w:r>
      <w:r w:rsidRPr="009312EE">
        <w:rPr>
          <w:rFonts w:ascii="Avenir Book" w:hAnsi="Avenir Book"/>
          <w:color w:val="000000"/>
        </w:rPr>
        <w:t xml:space="preserve"> its dismissal of the case on </w:t>
      </w:r>
      <w:r w:rsidRPr="009312EE">
        <w:rPr>
          <w:rFonts w:ascii="Avenir Book" w:hAnsi="Avenir Book"/>
          <w:i/>
          <w:color w:val="000000"/>
        </w:rPr>
        <w:t>Younger</w:t>
      </w:r>
      <w:r w:rsidRPr="009312EE">
        <w:rPr>
          <w:rFonts w:ascii="Avenir Book" w:hAnsi="Avenir Book"/>
          <w:color w:val="000000"/>
        </w:rPr>
        <w:t xml:space="preserve"> abstention grounds. But in justifying its decision, the court in </w:t>
      </w:r>
      <w:r w:rsidRPr="009312EE">
        <w:rPr>
          <w:rFonts w:ascii="Avenir Book" w:hAnsi="Avenir Book"/>
          <w:i/>
          <w:color w:val="000000"/>
        </w:rPr>
        <w:t>Bender</w:t>
      </w:r>
      <w:r w:rsidRPr="009312EE">
        <w:rPr>
          <w:rFonts w:ascii="Avenir Book" w:hAnsi="Avenir Book"/>
          <w:color w:val="000000"/>
        </w:rPr>
        <w:t xml:space="preserve"> emphasized that “judicial intervention into the… public defender system would be particularly imprudent given the state’s current and active efforts to reform the system.”</w:t>
      </w:r>
      <w:r w:rsidRPr="009312EE">
        <w:rPr>
          <w:rStyle w:val="EndnoteReference"/>
          <w:rFonts w:ascii="Avenir Book" w:hAnsi="Avenir Book"/>
          <w:color w:val="000000"/>
        </w:rPr>
        <w:endnoteReference w:id="255"/>
      </w:r>
      <w:r w:rsidRPr="009312EE">
        <w:rPr>
          <w:rFonts w:ascii="Avenir Book" w:hAnsi="Avenir Book"/>
          <w:color w:val="000000"/>
        </w:rPr>
        <w:t xml:space="preserve"> It then proceeded to detail the ways in which the State of Wisconsin had already begun actively engaging in reforming and improving its public defender system. These already initiated efforts at reform were unmistakably a consideration in the court’s determination that dismissal would be appropriate.</w:t>
      </w:r>
    </w:p>
    <w:p w14:paraId="1AA7D506" w14:textId="78E7607C" w:rsidR="00957927" w:rsidRPr="009312EE" w:rsidRDefault="00957927" w:rsidP="009312EE">
      <w:pPr>
        <w:spacing w:line="360" w:lineRule="auto"/>
        <w:ind w:firstLine="720"/>
        <w:jc w:val="both"/>
        <w:rPr>
          <w:rFonts w:ascii="Avenir Book" w:hAnsi="Avenir Book"/>
          <w:color w:val="000000"/>
        </w:rPr>
      </w:pPr>
      <w:r w:rsidRPr="009312EE">
        <w:rPr>
          <w:rFonts w:ascii="Avenir Book" w:hAnsi="Avenir Book"/>
          <w:color w:val="000000"/>
        </w:rPr>
        <w:t xml:space="preserve"> </w:t>
      </w:r>
      <w:r w:rsidR="00BE280E" w:rsidRPr="009312EE">
        <w:rPr>
          <w:rFonts w:ascii="Avenir Book" w:hAnsi="Avenir Book"/>
          <w:color w:val="000000"/>
        </w:rPr>
        <w:t xml:space="preserve">In </w:t>
      </w:r>
      <w:proofErr w:type="spellStart"/>
      <w:r w:rsidR="00BE280E" w:rsidRPr="009312EE">
        <w:rPr>
          <w:rFonts w:ascii="Avenir Book" w:hAnsi="Avenir Book"/>
          <w:i/>
          <w:color w:val="000000"/>
        </w:rPr>
        <w:t>Yarls</w:t>
      </w:r>
      <w:proofErr w:type="spellEnd"/>
      <w:r w:rsidR="00BE280E" w:rsidRPr="009312EE">
        <w:rPr>
          <w:rFonts w:ascii="Avenir Book" w:hAnsi="Avenir Book"/>
          <w:i/>
          <w:color w:val="000000"/>
        </w:rPr>
        <w:t xml:space="preserve"> v. Bunton</w:t>
      </w:r>
      <w:r w:rsidR="00BE280E" w:rsidRPr="009312EE">
        <w:rPr>
          <w:rFonts w:ascii="Avenir Book" w:hAnsi="Avenir Book"/>
          <w:color w:val="000000"/>
        </w:rPr>
        <w:t xml:space="preserve"> (2017), plaintiffs </w:t>
      </w:r>
      <w:r w:rsidR="00AF67BF" w:rsidRPr="009312EE">
        <w:rPr>
          <w:rFonts w:ascii="Avenir Book" w:hAnsi="Avenir Book"/>
          <w:color w:val="000000"/>
        </w:rPr>
        <w:t>claimed</w:t>
      </w:r>
      <w:r w:rsidR="00BE280E" w:rsidRPr="009312EE">
        <w:rPr>
          <w:rFonts w:ascii="Avenir Book" w:hAnsi="Avenir Book"/>
          <w:color w:val="000000"/>
        </w:rPr>
        <w:t xml:space="preserve"> the Orleans Public Defender Office (which covers New Orleans, Louisiana) </w:t>
      </w:r>
      <w:r w:rsidR="00AF67BF" w:rsidRPr="009312EE">
        <w:rPr>
          <w:rFonts w:ascii="Avenir Book" w:hAnsi="Avenir Book"/>
          <w:color w:val="000000"/>
        </w:rPr>
        <w:t>violated their rights through</w:t>
      </w:r>
      <w:r w:rsidR="00BE280E" w:rsidRPr="009312EE">
        <w:rPr>
          <w:rFonts w:ascii="Avenir Book" w:hAnsi="Avenir Book"/>
          <w:color w:val="000000"/>
        </w:rPr>
        <w:t xml:space="preserve"> </w:t>
      </w:r>
      <w:r w:rsidR="00AF67BF" w:rsidRPr="009312EE">
        <w:rPr>
          <w:rFonts w:ascii="Avenir Book" w:hAnsi="Avenir Book"/>
          <w:color w:val="000000"/>
        </w:rPr>
        <w:t>the</w:t>
      </w:r>
      <w:r w:rsidR="00BE280E" w:rsidRPr="009312EE">
        <w:rPr>
          <w:rFonts w:ascii="Avenir Book" w:hAnsi="Avenir Book"/>
          <w:color w:val="000000"/>
        </w:rPr>
        <w:t xml:space="preserve"> practice of placing defendants on a wait-list for representation when the office was overburdened with cases.</w:t>
      </w:r>
      <w:r w:rsidR="00F707A4" w:rsidRPr="00F707A4">
        <w:rPr>
          <w:rStyle w:val="EndnoteReference"/>
          <w:rFonts w:ascii="Avenir Book" w:hAnsi="Avenir Book"/>
          <w:color w:val="000000"/>
        </w:rPr>
        <w:t xml:space="preserve"> </w:t>
      </w:r>
      <w:r w:rsidR="00F707A4" w:rsidRPr="009312EE">
        <w:rPr>
          <w:rStyle w:val="EndnoteReference"/>
          <w:rFonts w:ascii="Avenir Book" w:hAnsi="Avenir Book"/>
          <w:color w:val="000000"/>
        </w:rPr>
        <w:endnoteReference w:id="256"/>
      </w:r>
      <w:r w:rsidR="00BE280E" w:rsidRPr="009312EE">
        <w:rPr>
          <w:rFonts w:ascii="Avenir Book" w:hAnsi="Avenir Book"/>
          <w:color w:val="000000"/>
        </w:rPr>
        <w:t xml:space="preserve"> </w:t>
      </w:r>
      <w:r w:rsidRPr="009312EE">
        <w:rPr>
          <w:rFonts w:ascii="Avenir Book" w:hAnsi="Avenir Book"/>
          <w:color w:val="000000"/>
        </w:rPr>
        <w:t xml:space="preserve">The plaintiffs in </w:t>
      </w:r>
      <w:proofErr w:type="spellStart"/>
      <w:r w:rsidRPr="009312EE">
        <w:rPr>
          <w:rFonts w:ascii="Avenir Book" w:hAnsi="Avenir Book"/>
          <w:i/>
          <w:color w:val="000000"/>
        </w:rPr>
        <w:t>Yarls</w:t>
      </w:r>
      <w:proofErr w:type="spellEnd"/>
      <w:r w:rsidRPr="009312EE">
        <w:rPr>
          <w:rFonts w:ascii="Avenir Book" w:hAnsi="Avenir Book"/>
          <w:color w:val="000000"/>
        </w:rPr>
        <w:t xml:space="preserve"> requested both declaratory and injunctive relief, under which the court would “monitor and enforce compliance” with reporting obligations regarding wait-listed defendants.</w:t>
      </w:r>
    </w:p>
    <w:p w14:paraId="4C8FD877" w14:textId="56F11505" w:rsidR="004A3D03" w:rsidRPr="009312EE" w:rsidRDefault="00A425C7" w:rsidP="009312EE">
      <w:pPr>
        <w:spacing w:line="360" w:lineRule="auto"/>
        <w:ind w:firstLine="720"/>
        <w:jc w:val="both"/>
        <w:rPr>
          <w:rFonts w:ascii="Avenir Book" w:hAnsi="Avenir Book"/>
          <w:color w:val="000000"/>
        </w:rPr>
      </w:pPr>
      <w:proofErr w:type="spellStart"/>
      <w:r w:rsidRPr="009312EE">
        <w:rPr>
          <w:rFonts w:ascii="Avenir Book" w:hAnsi="Avenir Book"/>
          <w:i/>
          <w:color w:val="000000"/>
        </w:rPr>
        <w:t>Yarls</w:t>
      </w:r>
      <w:proofErr w:type="spellEnd"/>
      <w:r w:rsidR="00BE280E" w:rsidRPr="009312EE">
        <w:rPr>
          <w:rFonts w:ascii="Avenir Book" w:hAnsi="Avenir Book"/>
          <w:color w:val="000000"/>
        </w:rPr>
        <w:t xml:space="preserve"> was </w:t>
      </w:r>
      <w:r w:rsidR="00957927" w:rsidRPr="009312EE">
        <w:rPr>
          <w:rFonts w:ascii="Avenir Book" w:hAnsi="Avenir Book"/>
          <w:color w:val="000000"/>
        </w:rPr>
        <w:t xml:space="preserve">eventually </w:t>
      </w:r>
      <w:r w:rsidR="00BE280E" w:rsidRPr="009312EE">
        <w:rPr>
          <w:rFonts w:ascii="Avenir Book" w:hAnsi="Avenir Book"/>
          <w:color w:val="000000"/>
        </w:rPr>
        <w:t>deemed “moot” because the</w:t>
      </w:r>
      <w:r w:rsidR="00957927" w:rsidRPr="009312EE">
        <w:rPr>
          <w:rFonts w:ascii="Avenir Book" w:hAnsi="Avenir Book"/>
          <w:color w:val="000000"/>
        </w:rPr>
        <w:t xml:space="preserve"> court found that the</w:t>
      </w:r>
      <w:r w:rsidR="00BE280E" w:rsidRPr="009312EE">
        <w:rPr>
          <w:rFonts w:ascii="Avenir Book" w:hAnsi="Avenir Book"/>
          <w:color w:val="000000"/>
        </w:rPr>
        <w:t xml:space="preserve"> state had taken significant steps to remedy the alleged deficiencies</w:t>
      </w:r>
      <w:r w:rsidR="00957927" w:rsidRPr="009312EE">
        <w:rPr>
          <w:rFonts w:ascii="Avenir Book" w:hAnsi="Avenir Book"/>
          <w:color w:val="000000"/>
        </w:rPr>
        <w:t>.</w:t>
      </w:r>
      <w:r w:rsidR="00957927" w:rsidRPr="009312EE">
        <w:rPr>
          <w:rStyle w:val="EndnoteReference"/>
          <w:rFonts w:ascii="Avenir Book" w:hAnsi="Avenir Book"/>
          <w:color w:val="000000"/>
        </w:rPr>
        <w:endnoteReference w:id="257"/>
      </w:r>
      <w:r w:rsidR="00957927" w:rsidRPr="009312EE">
        <w:rPr>
          <w:rFonts w:ascii="Avenir Book" w:hAnsi="Avenir Book"/>
          <w:color w:val="000000"/>
        </w:rPr>
        <w:t xml:space="preserve"> In other words, Louisiana solved both the problem of admittedly violating defendants’ rights, and the problem of </w:t>
      </w:r>
      <w:r w:rsidR="00957927" w:rsidRPr="009312EE">
        <w:rPr>
          <w:rFonts w:ascii="Avenir Book" w:hAnsi="Avenir Book"/>
          <w:color w:val="000000"/>
        </w:rPr>
        <w:lastRenderedPageBreak/>
        <w:t>responding to ongoing litigation, by simply taking steps to improve their provision of indigent services.</w:t>
      </w:r>
    </w:p>
    <w:p w14:paraId="21C813DC" w14:textId="3B108459" w:rsidR="00DC1D8B" w:rsidRPr="009312EE" w:rsidRDefault="008B6CB8" w:rsidP="009312EE">
      <w:pPr>
        <w:spacing w:line="360" w:lineRule="auto"/>
        <w:ind w:firstLine="720"/>
        <w:jc w:val="both"/>
        <w:rPr>
          <w:rFonts w:ascii="Avenir Book" w:hAnsi="Avenir Book"/>
          <w:color w:val="000000"/>
        </w:rPr>
      </w:pPr>
      <w:r w:rsidRPr="009312EE">
        <w:rPr>
          <w:rFonts w:ascii="Avenir Book" w:hAnsi="Avenir Book"/>
          <w:color w:val="000000"/>
        </w:rPr>
        <w:t xml:space="preserve">The </w:t>
      </w:r>
      <w:r w:rsidR="00AF67BF" w:rsidRPr="009312EE">
        <w:rPr>
          <w:rFonts w:ascii="Avenir Book" w:hAnsi="Avenir Book"/>
          <w:color w:val="000000"/>
        </w:rPr>
        <w:t>theories of relief</w:t>
      </w:r>
      <w:r w:rsidRPr="009312EE">
        <w:rPr>
          <w:rFonts w:ascii="Avenir Book" w:hAnsi="Avenir Book"/>
          <w:color w:val="000000"/>
        </w:rPr>
        <w:t xml:space="preserve"> embodied in </w:t>
      </w:r>
      <w:r w:rsidRPr="009312EE">
        <w:rPr>
          <w:rFonts w:ascii="Avenir Book" w:hAnsi="Avenir Book"/>
          <w:i/>
          <w:color w:val="000000"/>
        </w:rPr>
        <w:t>Bender</w:t>
      </w:r>
      <w:r w:rsidRPr="009312EE">
        <w:rPr>
          <w:rFonts w:ascii="Avenir Book" w:hAnsi="Avenir Book"/>
          <w:color w:val="000000"/>
        </w:rPr>
        <w:t xml:space="preserve"> and </w:t>
      </w:r>
      <w:proofErr w:type="spellStart"/>
      <w:r w:rsidRPr="009312EE">
        <w:rPr>
          <w:rFonts w:ascii="Avenir Book" w:hAnsi="Avenir Book"/>
          <w:i/>
          <w:color w:val="000000"/>
        </w:rPr>
        <w:t>Yarls</w:t>
      </w:r>
      <w:proofErr w:type="spellEnd"/>
      <w:r w:rsidRPr="009312EE">
        <w:rPr>
          <w:rFonts w:ascii="Avenir Book" w:hAnsi="Avenir Book"/>
          <w:color w:val="000000"/>
        </w:rPr>
        <w:t xml:space="preserve"> are relatively </w:t>
      </w:r>
      <w:r w:rsidR="00F7457C" w:rsidRPr="009312EE">
        <w:rPr>
          <w:rFonts w:ascii="Avenir Book" w:hAnsi="Avenir Book"/>
          <w:color w:val="000000"/>
        </w:rPr>
        <w:t>recent and novel</w:t>
      </w:r>
      <w:r w:rsidRPr="009312EE">
        <w:rPr>
          <w:rFonts w:ascii="Avenir Book" w:hAnsi="Avenir Book"/>
          <w:color w:val="000000"/>
        </w:rPr>
        <w:t xml:space="preserve">; courts are </w:t>
      </w:r>
      <w:r w:rsidR="00F7457C" w:rsidRPr="009312EE">
        <w:rPr>
          <w:rFonts w:ascii="Avenir Book" w:hAnsi="Avenir Book"/>
          <w:color w:val="000000"/>
        </w:rPr>
        <w:t xml:space="preserve">therefore </w:t>
      </w:r>
      <w:r w:rsidRPr="009312EE">
        <w:rPr>
          <w:rFonts w:ascii="Avenir Book" w:hAnsi="Avenir Book"/>
          <w:color w:val="000000"/>
        </w:rPr>
        <w:t xml:space="preserve">still wrestling with </w:t>
      </w:r>
      <w:r w:rsidR="00F7457C" w:rsidRPr="009312EE">
        <w:rPr>
          <w:rFonts w:ascii="Avenir Book" w:hAnsi="Avenir Book"/>
          <w:color w:val="000000"/>
        </w:rPr>
        <w:t xml:space="preserve">properly applying </w:t>
      </w:r>
      <w:r w:rsidR="00F707A4">
        <w:rPr>
          <w:rFonts w:ascii="Avenir Book" w:hAnsi="Avenir Book"/>
          <w:color w:val="000000"/>
        </w:rPr>
        <w:t>abstention</w:t>
      </w:r>
      <w:r w:rsidR="00F7457C" w:rsidRPr="009312EE">
        <w:rPr>
          <w:rFonts w:ascii="Avenir Book" w:hAnsi="Avenir Book"/>
          <w:color w:val="000000"/>
        </w:rPr>
        <w:t xml:space="preserve"> doctrine</w:t>
      </w:r>
      <w:r w:rsidR="00F707A4">
        <w:rPr>
          <w:rFonts w:ascii="Avenir Book" w:hAnsi="Avenir Book"/>
          <w:color w:val="000000"/>
        </w:rPr>
        <w:t xml:space="preserve"> to these cases</w:t>
      </w:r>
      <w:r w:rsidR="00F7457C" w:rsidRPr="009312EE">
        <w:rPr>
          <w:rFonts w:ascii="Avenir Book" w:hAnsi="Avenir Book"/>
          <w:color w:val="000000"/>
        </w:rPr>
        <w:t xml:space="preserve">. </w:t>
      </w:r>
      <w:r w:rsidR="00F707A4">
        <w:rPr>
          <w:rFonts w:ascii="Avenir Book" w:hAnsi="Avenir Book"/>
          <w:color w:val="000000"/>
        </w:rPr>
        <w:t>But even a</w:t>
      </w:r>
      <w:r w:rsidR="00A425C7" w:rsidRPr="009312EE">
        <w:rPr>
          <w:rFonts w:ascii="Avenir Book" w:hAnsi="Avenir Book"/>
          <w:color w:val="000000"/>
        </w:rPr>
        <w:t>ssuming</w:t>
      </w:r>
      <w:r w:rsidR="00F707A4">
        <w:rPr>
          <w:rFonts w:ascii="Avenir Book" w:hAnsi="Avenir Book"/>
          <w:color w:val="000000"/>
        </w:rPr>
        <w:t xml:space="preserve"> that </w:t>
      </w:r>
      <w:r w:rsidR="00AF67BF" w:rsidRPr="009312EE">
        <w:rPr>
          <w:rFonts w:ascii="Avenir Book" w:hAnsi="Avenir Book"/>
          <w:color w:val="000000"/>
        </w:rPr>
        <w:t>abstention</w:t>
      </w:r>
      <w:r w:rsidR="00F707A4">
        <w:rPr>
          <w:rFonts w:ascii="Avenir Book" w:hAnsi="Avenir Book"/>
          <w:color w:val="000000"/>
        </w:rPr>
        <w:t xml:space="preserve"> doctrine</w:t>
      </w:r>
      <w:r w:rsidR="00AF67BF" w:rsidRPr="009312EE">
        <w:rPr>
          <w:rFonts w:ascii="Avenir Book" w:hAnsi="Avenir Book"/>
          <w:color w:val="000000"/>
        </w:rPr>
        <w:t xml:space="preserve"> was correctly applied</w:t>
      </w:r>
      <w:r w:rsidR="00A425C7" w:rsidRPr="009312EE">
        <w:rPr>
          <w:rFonts w:ascii="Avenir Book" w:hAnsi="Avenir Book"/>
          <w:color w:val="000000"/>
        </w:rPr>
        <w:t xml:space="preserve"> in </w:t>
      </w:r>
      <w:r w:rsidR="00A425C7" w:rsidRPr="009312EE">
        <w:rPr>
          <w:rFonts w:ascii="Avenir Book" w:hAnsi="Avenir Book"/>
          <w:i/>
          <w:color w:val="000000"/>
        </w:rPr>
        <w:t>Bender</w:t>
      </w:r>
      <w:r w:rsidR="00F707A4">
        <w:rPr>
          <w:rFonts w:ascii="Avenir Book" w:hAnsi="Avenir Book"/>
          <w:color w:val="000000"/>
        </w:rPr>
        <w:t xml:space="preserve"> and </w:t>
      </w:r>
      <w:proofErr w:type="spellStart"/>
      <w:r w:rsidR="00F707A4" w:rsidRPr="00F707A4">
        <w:rPr>
          <w:rFonts w:ascii="Avenir Book" w:hAnsi="Avenir Book"/>
          <w:i/>
          <w:iCs/>
          <w:color w:val="000000"/>
        </w:rPr>
        <w:t>Yarls</w:t>
      </w:r>
      <w:proofErr w:type="spellEnd"/>
      <w:r w:rsidR="00F707A4">
        <w:rPr>
          <w:rFonts w:ascii="Avenir Book" w:hAnsi="Avenir Book"/>
          <w:color w:val="000000"/>
        </w:rPr>
        <w:t>,</w:t>
      </w:r>
      <w:r w:rsidR="00AF67BF" w:rsidRPr="009312EE">
        <w:rPr>
          <w:rFonts w:ascii="Avenir Book" w:hAnsi="Avenir Book"/>
          <w:color w:val="000000"/>
        </w:rPr>
        <w:t xml:space="preserve"> plaintiffs in future cases could avoid abstention-based dismissals </w:t>
      </w:r>
      <w:r w:rsidR="006F6CCC" w:rsidRPr="009312EE">
        <w:rPr>
          <w:rFonts w:ascii="Avenir Book" w:hAnsi="Avenir Book"/>
          <w:color w:val="000000"/>
        </w:rPr>
        <w:t xml:space="preserve">simply </w:t>
      </w:r>
      <w:r w:rsidR="00AF67BF" w:rsidRPr="009312EE">
        <w:rPr>
          <w:rFonts w:ascii="Avenir Book" w:hAnsi="Avenir Book"/>
          <w:color w:val="000000"/>
        </w:rPr>
        <w:t>by framing their claims as seeking only a declaratory judgment and monetary relief</w:t>
      </w:r>
      <w:r w:rsidR="00F707A4">
        <w:rPr>
          <w:rFonts w:ascii="Avenir Book" w:hAnsi="Avenir Book"/>
          <w:color w:val="000000"/>
        </w:rPr>
        <w:t xml:space="preserve"> (as opposed to injunctive relief)</w:t>
      </w:r>
      <w:r w:rsidR="00AF67BF" w:rsidRPr="009312EE">
        <w:rPr>
          <w:rFonts w:ascii="Avenir Book" w:hAnsi="Avenir Book"/>
          <w:color w:val="000000"/>
        </w:rPr>
        <w:t>.</w:t>
      </w:r>
      <w:r w:rsidR="00AF67BF" w:rsidRPr="009312EE">
        <w:rPr>
          <w:rStyle w:val="EndnoteReference"/>
          <w:rFonts w:ascii="Avenir Book" w:hAnsi="Avenir Book"/>
          <w:color w:val="000000"/>
        </w:rPr>
        <w:endnoteReference w:id="258"/>
      </w:r>
    </w:p>
    <w:p w14:paraId="3C959E66" w14:textId="0F2A6E45" w:rsidR="00893E20" w:rsidRPr="009312EE" w:rsidRDefault="00E6280A" w:rsidP="009312EE">
      <w:pPr>
        <w:spacing w:line="360" w:lineRule="auto"/>
        <w:ind w:firstLine="720"/>
        <w:jc w:val="both"/>
        <w:rPr>
          <w:rFonts w:ascii="Avenir Book" w:hAnsi="Avenir Book"/>
          <w:color w:val="000000"/>
        </w:rPr>
      </w:pPr>
      <w:r w:rsidRPr="009312EE">
        <w:rPr>
          <w:rFonts w:ascii="Avenir Book" w:hAnsi="Avenir Book"/>
          <w:color w:val="000000"/>
        </w:rPr>
        <w:t xml:space="preserve">While </w:t>
      </w:r>
      <w:r w:rsidRPr="009312EE">
        <w:rPr>
          <w:rFonts w:ascii="Avenir Book" w:hAnsi="Avenir Book"/>
          <w:i/>
          <w:color w:val="000000"/>
        </w:rPr>
        <w:t>Bender</w:t>
      </w:r>
      <w:r w:rsidRPr="009312EE">
        <w:rPr>
          <w:rFonts w:ascii="Avenir Book" w:hAnsi="Avenir Book"/>
          <w:color w:val="000000"/>
        </w:rPr>
        <w:t xml:space="preserve"> and </w:t>
      </w:r>
      <w:proofErr w:type="spellStart"/>
      <w:r w:rsidRPr="009312EE">
        <w:rPr>
          <w:rFonts w:ascii="Avenir Book" w:hAnsi="Avenir Book"/>
          <w:i/>
          <w:color w:val="000000"/>
        </w:rPr>
        <w:t>Yarls</w:t>
      </w:r>
      <w:proofErr w:type="spellEnd"/>
      <w:r w:rsidRPr="009312EE">
        <w:rPr>
          <w:rFonts w:ascii="Avenir Book" w:hAnsi="Avenir Book"/>
          <w:color w:val="000000"/>
        </w:rPr>
        <w:t xml:space="preserve"> involved claims under the federal constitution, plaintiffs can and have brought claims under state constitutions as well. </w:t>
      </w:r>
      <w:r w:rsidR="002C5C1A" w:rsidRPr="009312EE">
        <w:rPr>
          <w:rFonts w:ascii="Avenir Book" w:hAnsi="Avenir Book"/>
          <w:color w:val="000000"/>
        </w:rPr>
        <w:t xml:space="preserve">In </w:t>
      </w:r>
      <w:proofErr w:type="spellStart"/>
      <w:r w:rsidR="002C5C1A" w:rsidRPr="009312EE">
        <w:rPr>
          <w:rFonts w:ascii="Avenir Book" w:hAnsi="Avenir Book"/>
          <w:i/>
          <w:color w:val="000000"/>
        </w:rPr>
        <w:t>Kuren</w:t>
      </w:r>
      <w:proofErr w:type="spellEnd"/>
      <w:r w:rsidR="002C5C1A" w:rsidRPr="009312EE">
        <w:rPr>
          <w:rFonts w:ascii="Avenir Book" w:hAnsi="Avenir Book"/>
          <w:i/>
          <w:color w:val="000000"/>
        </w:rPr>
        <w:t xml:space="preserve"> v. </w:t>
      </w:r>
      <w:r w:rsidR="0051364B">
        <w:rPr>
          <w:rFonts w:ascii="Avenir Book" w:hAnsi="Avenir Book"/>
          <w:i/>
          <w:color w:val="000000"/>
        </w:rPr>
        <w:t>Luzerne</w:t>
      </w:r>
      <w:r w:rsidR="002C5C1A" w:rsidRPr="009312EE">
        <w:rPr>
          <w:rFonts w:ascii="Avenir Book" w:hAnsi="Avenir Book"/>
          <w:i/>
          <w:color w:val="000000"/>
        </w:rPr>
        <w:t xml:space="preserve"> County</w:t>
      </w:r>
      <w:r w:rsidR="002C5C1A" w:rsidRPr="009312EE">
        <w:rPr>
          <w:rFonts w:ascii="Avenir Book" w:hAnsi="Avenir Book"/>
          <w:color w:val="000000"/>
        </w:rPr>
        <w:t xml:space="preserve"> (2016), </w:t>
      </w:r>
      <w:r w:rsidR="00D773A3" w:rsidRPr="009312EE">
        <w:rPr>
          <w:rFonts w:ascii="Avenir Book" w:hAnsi="Avenir Book"/>
          <w:color w:val="000000"/>
        </w:rPr>
        <w:t xml:space="preserve">plaintiffs who had been indigent criminal defendants </w:t>
      </w:r>
      <w:r w:rsidR="002D0F03" w:rsidRPr="009312EE">
        <w:rPr>
          <w:rFonts w:ascii="Avenir Book" w:hAnsi="Avenir Book"/>
          <w:color w:val="000000"/>
        </w:rPr>
        <w:t>brought a class action lawsuit against</w:t>
      </w:r>
      <w:r w:rsidR="00D773A3" w:rsidRPr="009312EE">
        <w:rPr>
          <w:rFonts w:ascii="Avenir Book" w:hAnsi="Avenir Book"/>
          <w:color w:val="000000"/>
        </w:rPr>
        <w:t xml:space="preserve"> </w:t>
      </w:r>
      <w:r w:rsidR="002D0F03" w:rsidRPr="009312EE">
        <w:rPr>
          <w:rFonts w:ascii="Avenir Book" w:hAnsi="Avenir Book"/>
          <w:color w:val="000000"/>
        </w:rPr>
        <w:t>Pennsylvania’s</w:t>
      </w:r>
      <w:r w:rsidR="00B82A5D" w:rsidRPr="009312EE">
        <w:rPr>
          <w:rFonts w:ascii="Avenir Book" w:hAnsi="Avenir Book"/>
          <w:color w:val="000000"/>
        </w:rPr>
        <w:t xml:space="preserve"> </w:t>
      </w:r>
      <w:r w:rsidR="0051364B">
        <w:rPr>
          <w:rFonts w:ascii="Avenir Book" w:hAnsi="Avenir Book"/>
          <w:color w:val="000000"/>
        </w:rPr>
        <w:t>Luzerne</w:t>
      </w:r>
      <w:r w:rsidR="00B82A5D" w:rsidRPr="009312EE">
        <w:rPr>
          <w:rFonts w:ascii="Avenir Book" w:hAnsi="Avenir Book"/>
          <w:color w:val="000000"/>
        </w:rPr>
        <w:t xml:space="preserve"> C</w:t>
      </w:r>
      <w:r w:rsidR="00D773A3" w:rsidRPr="009312EE">
        <w:rPr>
          <w:rFonts w:ascii="Avenir Book" w:hAnsi="Avenir Book"/>
          <w:color w:val="000000"/>
        </w:rPr>
        <w:t xml:space="preserve">ounty, alleging that </w:t>
      </w:r>
      <w:r w:rsidR="00B82A5D" w:rsidRPr="009312EE">
        <w:rPr>
          <w:rFonts w:ascii="Avenir Book" w:hAnsi="Avenir Book"/>
          <w:color w:val="000000"/>
        </w:rPr>
        <w:t xml:space="preserve">the county’s </w:t>
      </w:r>
      <w:r w:rsidR="00D773A3" w:rsidRPr="009312EE">
        <w:rPr>
          <w:rFonts w:ascii="Avenir Book" w:hAnsi="Avenir Book"/>
          <w:color w:val="000000"/>
        </w:rPr>
        <w:t>inadequate funding of its public defender office deprived defendants of right to counsel.</w:t>
      </w:r>
      <w:r w:rsidR="00466ED5" w:rsidRPr="009312EE">
        <w:rPr>
          <w:rStyle w:val="EndnoteReference"/>
          <w:rFonts w:ascii="Avenir Book" w:hAnsi="Avenir Book"/>
          <w:color w:val="000000"/>
        </w:rPr>
        <w:endnoteReference w:id="259"/>
      </w:r>
      <w:r w:rsidR="00D773A3" w:rsidRPr="009312EE">
        <w:rPr>
          <w:rFonts w:ascii="Avenir Book" w:hAnsi="Avenir Book"/>
          <w:color w:val="000000"/>
        </w:rPr>
        <w:t> </w:t>
      </w:r>
      <w:r w:rsidR="00A425C7" w:rsidRPr="009312EE">
        <w:rPr>
          <w:rFonts w:ascii="Avenir Book" w:hAnsi="Avenir Book"/>
          <w:color w:val="000000"/>
        </w:rPr>
        <w:t xml:space="preserve"> </w:t>
      </w:r>
      <w:r w:rsidR="00893E20" w:rsidRPr="009312EE">
        <w:rPr>
          <w:rFonts w:ascii="Avenir Book" w:hAnsi="Avenir Book"/>
          <w:color w:val="000000"/>
        </w:rPr>
        <w:t>Relying on information produced by the Chief Public Defender, plaintiffs alleged that the public defender office had the following deficiencies: caseloads for attorneys exceeded national standards, and there were not enough attorneys; the office lacked sufficient support staff</w:t>
      </w:r>
      <w:r w:rsidR="00E93489" w:rsidRPr="009312EE">
        <w:rPr>
          <w:rFonts w:ascii="Avenir Book" w:hAnsi="Avenir Book"/>
          <w:color w:val="000000"/>
        </w:rPr>
        <w:t xml:space="preserve"> (including social workers, paralegals, assistants, clerical workers)</w:t>
      </w:r>
      <w:r w:rsidR="00893E20" w:rsidRPr="009312EE">
        <w:rPr>
          <w:rFonts w:ascii="Avenir Book" w:hAnsi="Avenir Book"/>
          <w:color w:val="000000"/>
        </w:rPr>
        <w:t xml:space="preserve">; untrained trial attorneys were </w:t>
      </w:r>
      <w:r w:rsidR="00466ED5" w:rsidRPr="009312EE">
        <w:rPr>
          <w:rFonts w:ascii="Avenir Book" w:hAnsi="Avenir Book"/>
          <w:color w:val="000000"/>
        </w:rPr>
        <w:t>being made to litigate appeals; the facilities were unsuitable for their purposes; and the office has “i</w:t>
      </w:r>
      <w:r w:rsidR="00893E20" w:rsidRPr="009312EE">
        <w:rPr>
          <w:rFonts w:ascii="Avenir Book" w:hAnsi="Avenir Book"/>
          <w:color w:val="000000"/>
        </w:rPr>
        <w:t>nadequate information technology.</w:t>
      </w:r>
      <w:r w:rsidR="00466ED5" w:rsidRPr="009312EE">
        <w:rPr>
          <w:rFonts w:ascii="Avenir Book" w:hAnsi="Avenir Book"/>
          <w:color w:val="000000"/>
        </w:rPr>
        <w:t>”</w:t>
      </w:r>
      <w:r w:rsidR="00F436F3" w:rsidRPr="009312EE">
        <w:rPr>
          <w:rStyle w:val="EndnoteReference"/>
          <w:rFonts w:ascii="Avenir Book" w:hAnsi="Avenir Book"/>
          <w:color w:val="000000"/>
        </w:rPr>
        <w:endnoteReference w:id="260"/>
      </w:r>
      <w:r w:rsidR="002D0F03" w:rsidRPr="009312EE">
        <w:rPr>
          <w:rFonts w:ascii="Avenir Book" w:hAnsi="Avenir Book"/>
          <w:color w:val="000000"/>
        </w:rPr>
        <w:t xml:space="preserve"> Plaintiffs alleged a violation </w:t>
      </w:r>
      <w:r w:rsidR="00AF6B48" w:rsidRPr="009312EE">
        <w:rPr>
          <w:rFonts w:ascii="Avenir Book" w:hAnsi="Avenir Book"/>
          <w:color w:val="000000"/>
        </w:rPr>
        <w:t xml:space="preserve">of </w:t>
      </w:r>
      <w:r w:rsidR="002D0F03" w:rsidRPr="009312EE">
        <w:rPr>
          <w:rFonts w:ascii="Avenir Book" w:hAnsi="Avenir Book"/>
          <w:color w:val="000000"/>
        </w:rPr>
        <w:t>Article I, Section 9 of the Pennsylvania Constitution; and sought a writ of mandamus and injunctive relief.</w:t>
      </w:r>
      <w:r w:rsidR="002D0F03" w:rsidRPr="009312EE">
        <w:rPr>
          <w:rStyle w:val="EndnoteReference"/>
          <w:rFonts w:ascii="Avenir Book" w:hAnsi="Avenir Book"/>
          <w:color w:val="000000"/>
        </w:rPr>
        <w:endnoteReference w:id="261"/>
      </w:r>
    </w:p>
    <w:p w14:paraId="52EA93C2" w14:textId="4DAE00AC" w:rsidR="0014308E" w:rsidRPr="009312EE" w:rsidRDefault="00545042" w:rsidP="009312EE">
      <w:pPr>
        <w:spacing w:line="360" w:lineRule="auto"/>
        <w:ind w:firstLine="720"/>
        <w:jc w:val="both"/>
        <w:rPr>
          <w:rFonts w:ascii="Avenir Book" w:hAnsi="Avenir Book"/>
          <w:color w:val="000000"/>
        </w:rPr>
      </w:pPr>
      <w:r w:rsidRPr="009312EE">
        <w:rPr>
          <w:rFonts w:ascii="Avenir Book" w:hAnsi="Avenir Book"/>
          <w:color w:val="000000"/>
        </w:rPr>
        <w:t>While denying plaintiffs the writ of mandamus, t</w:t>
      </w:r>
      <w:r w:rsidR="00ED039D" w:rsidRPr="009312EE">
        <w:rPr>
          <w:rFonts w:ascii="Avenir Book" w:hAnsi="Avenir Book"/>
          <w:color w:val="000000"/>
        </w:rPr>
        <w:t xml:space="preserve">he </w:t>
      </w:r>
      <w:proofErr w:type="spellStart"/>
      <w:r w:rsidR="00ED039D" w:rsidRPr="009312EE">
        <w:rPr>
          <w:rFonts w:ascii="Avenir Book" w:hAnsi="Avenir Book"/>
          <w:i/>
          <w:color w:val="000000"/>
        </w:rPr>
        <w:t>Kuren</w:t>
      </w:r>
      <w:proofErr w:type="spellEnd"/>
      <w:r w:rsidR="00ED039D" w:rsidRPr="009312EE">
        <w:rPr>
          <w:rFonts w:ascii="Avenir Book" w:hAnsi="Avenir Book"/>
          <w:color w:val="000000"/>
        </w:rPr>
        <w:t xml:space="preserve"> court held </w:t>
      </w:r>
      <w:r w:rsidR="0073354F" w:rsidRPr="009312EE">
        <w:rPr>
          <w:rFonts w:ascii="Avenir Book" w:hAnsi="Avenir Book"/>
          <w:color w:val="000000"/>
        </w:rPr>
        <w:t xml:space="preserve">that a cause of action </w:t>
      </w:r>
      <w:r w:rsidR="003C29D0" w:rsidRPr="009312EE">
        <w:rPr>
          <w:rFonts w:ascii="Avenir Book" w:hAnsi="Avenir Book"/>
          <w:color w:val="000000"/>
        </w:rPr>
        <w:t>exists</w:t>
      </w:r>
      <w:r w:rsidR="0073354F" w:rsidRPr="009312EE">
        <w:rPr>
          <w:rFonts w:ascii="Avenir Book" w:hAnsi="Avenir Book"/>
          <w:color w:val="000000"/>
        </w:rPr>
        <w:t xml:space="preserve"> for “defendants to allege prospective, systemic violations of the right to counsel due to underfunding, and to seek and obtain an injunction forcing a county to provide adequate funding to a public defender's office.”</w:t>
      </w:r>
      <w:r w:rsidR="0073354F" w:rsidRPr="009312EE">
        <w:rPr>
          <w:rStyle w:val="EndnoteReference"/>
          <w:rFonts w:ascii="Avenir Book" w:hAnsi="Avenir Book"/>
          <w:color w:val="000000"/>
        </w:rPr>
        <w:endnoteReference w:id="262"/>
      </w:r>
      <w:r w:rsidR="0031597A" w:rsidRPr="009312EE">
        <w:rPr>
          <w:rFonts w:ascii="Avenir Book" w:hAnsi="Avenir Book"/>
          <w:color w:val="000000"/>
        </w:rPr>
        <w:t xml:space="preserve"> Notably, the </w:t>
      </w:r>
      <w:r w:rsidR="00C940E4" w:rsidRPr="009312EE">
        <w:rPr>
          <w:rFonts w:ascii="Avenir Book" w:hAnsi="Avenir Book"/>
          <w:color w:val="000000"/>
        </w:rPr>
        <w:t xml:space="preserve">U.S. </w:t>
      </w:r>
      <w:r w:rsidR="0031597A" w:rsidRPr="009312EE">
        <w:rPr>
          <w:rFonts w:ascii="Avenir Book" w:hAnsi="Avenir Book"/>
          <w:color w:val="000000"/>
        </w:rPr>
        <w:t xml:space="preserve">Department of Justice, which filed an </w:t>
      </w:r>
      <w:r w:rsidR="004735EC" w:rsidRPr="009312EE">
        <w:rPr>
          <w:rFonts w:ascii="Avenir Book" w:hAnsi="Avenir Book"/>
          <w:color w:val="000000"/>
        </w:rPr>
        <w:t>amicus</w:t>
      </w:r>
      <w:r w:rsidR="0031597A" w:rsidRPr="009312EE">
        <w:rPr>
          <w:rFonts w:ascii="Avenir Book" w:hAnsi="Avenir Book"/>
          <w:color w:val="000000"/>
        </w:rPr>
        <w:t xml:space="preserve"> brief in </w:t>
      </w:r>
      <w:proofErr w:type="spellStart"/>
      <w:r w:rsidR="0031597A" w:rsidRPr="009312EE">
        <w:rPr>
          <w:rFonts w:ascii="Avenir Book" w:hAnsi="Avenir Book"/>
          <w:i/>
          <w:color w:val="000000"/>
        </w:rPr>
        <w:t>Kuren</w:t>
      </w:r>
      <w:proofErr w:type="spellEnd"/>
      <w:r w:rsidR="0031597A" w:rsidRPr="009312EE">
        <w:rPr>
          <w:rFonts w:ascii="Avenir Book" w:hAnsi="Avenir Book"/>
          <w:color w:val="000000"/>
        </w:rPr>
        <w:t xml:space="preserve">, also took the position (at </w:t>
      </w:r>
      <w:r w:rsidR="0031597A" w:rsidRPr="009312EE">
        <w:rPr>
          <w:rFonts w:ascii="Avenir Book" w:hAnsi="Avenir Book"/>
          <w:color w:val="000000"/>
        </w:rPr>
        <w:lastRenderedPageBreak/>
        <w:t xml:space="preserve">that time) </w:t>
      </w:r>
      <w:r w:rsidR="00C940E4" w:rsidRPr="009312EE">
        <w:rPr>
          <w:rFonts w:ascii="Avenir Book" w:hAnsi="Avenir Book"/>
          <w:color w:val="000000"/>
        </w:rPr>
        <w:t>that “a civil claim for constructive denial of counsel is cognizable under the Sixth Amendment,” and that such a claim is “both legitimate and rooted in U.S. Supreme Court case law.”</w:t>
      </w:r>
      <w:r w:rsidR="00C940E4" w:rsidRPr="009312EE">
        <w:rPr>
          <w:rStyle w:val="EndnoteReference"/>
          <w:rFonts w:ascii="Avenir Book" w:hAnsi="Avenir Book"/>
          <w:color w:val="000000"/>
        </w:rPr>
        <w:endnoteReference w:id="263"/>
      </w:r>
    </w:p>
    <w:p w14:paraId="0C33581D" w14:textId="44C0B8CF" w:rsidR="0014308E" w:rsidRDefault="0014308E" w:rsidP="009312EE">
      <w:pPr>
        <w:spacing w:line="360" w:lineRule="auto"/>
        <w:ind w:firstLine="720"/>
        <w:jc w:val="both"/>
        <w:rPr>
          <w:rFonts w:ascii="Avenir Book" w:hAnsi="Avenir Book"/>
          <w:color w:val="000000"/>
        </w:rPr>
      </w:pPr>
      <w:r w:rsidRPr="009312EE">
        <w:rPr>
          <w:rFonts w:ascii="Avenir Book" w:hAnsi="Avenir Book"/>
          <w:color w:val="000000"/>
        </w:rPr>
        <w:t xml:space="preserve">State and local governments can take several lessons from </w:t>
      </w:r>
      <w:r w:rsidR="00E6280A" w:rsidRPr="009312EE">
        <w:rPr>
          <w:rFonts w:ascii="Avenir Book" w:hAnsi="Avenir Book"/>
          <w:color w:val="000000"/>
        </w:rPr>
        <w:t>recent cases</w:t>
      </w:r>
      <w:r w:rsidRPr="009312EE">
        <w:rPr>
          <w:rFonts w:ascii="Avenir Book" w:hAnsi="Avenir Book"/>
          <w:color w:val="000000"/>
        </w:rPr>
        <w:t xml:space="preserve"> alleging systemic deprivations of the right to adequate assistance of indigent defense counsel:</w:t>
      </w:r>
      <w:r w:rsidR="004735EC" w:rsidRPr="009312EE">
        <w:rPr>
          <w:rFonts w:ascii="Avenir Book" w:hAnsi="Avenir Book"/>
          <w:color w:val="000000"/>
        </w:rPr>
        <w:t xml:space="preserve"> </w:t>
      </w:r>
      <w:r w:rsidR="004735EC" w:rsidRPr="009312EE">
        <w:rPr>
          <w:rFonts w:ascii="Avenir Book" w:hAnsi="Avenir Book"/>
          <w:i/>
          <w:color w:val="000000"/>
        </w:rPr>
        <w:t>first</w:t>
      </w:r>
      <w:r w:rsidR="004735EC" w:rsidRPr="009312EE">
        <w:rPr>
          <w:rFonts w:ascii="Avenir Book" w:hAnsi="Avenir Book"/>
          <w:color w:val="000000"/>
        </w:rPr>
        <w:t xml:space="preserve">, plaintiffs in Pennsylvania likely have a cognizable cause of action in state court </w:t>
      </w:r>
      <w:r w:rsidR="00AF1573" w:rsidRPr="009312EE">
        <w:rPr>
          <w:rFonts w:ascii="Avenir Book" w:hAnsi="Avenir Book"/>
          <w:color w:val="000000"/>
        </w:rPr>
        <w:t>for both current and prospective violations of the right to counsel</w:t>
      </w:r>
      <w:r w:rsidR="00AF6B48" w:rsidRPr="009312EE">
        <w:rPr>
          <w:rFonts w:ascii="Avenir Book" w:hAnsi="Avenir Book"/>
          <w:color w:val="000000"/>
        </w:rPr>
        <w:t>;</w:t>
      </w:r>
      <w:r w:rsidR="00AF1573" w:rsidRPr="009312EE">
        <w:rPr>
          <w:rFonts w:ascii="Avenir Book" w:hAnsi="Avenir Book"/>
          <w:color w:val="000000"/>
        </w:rPr>
        <w:t xml:space="preserve"> </w:t>
      </w:r>
      <w:r w:rsidR="00AF6B48" w:rsidRPr="009312EE">
        <w:rPr>
          <w:rFonts w:ascii="Avenir Book" w:hAnsi="Avenir Book"/>
          <w:i/>
          <w:color w:val="000000"/>
        </w:rPr>
        <w:t>s</w:t>
      </w:r>
      <w:r w:rsidR="00AF1573" w:rsidRPr="009312EE">
        <w:rPr>
          <w:rFonts w:ascii="Avenir Book" w:hAnsi="Avenir Book"/>
          <w:i/>
          <w:color w:val="000000"/>
        </w:rPr>
        <w:t>econd</w:t>
      </w:r>
      <w:r w:rsidR="00AF1573" w:rsidRPr="009312EE">
        <w:rPr>
          <w:rFonts w:ascii="Avenir Book" w:hAnsi="Avenir Book"/>
          <w:color w:val="000000"/>
        </w:rPr>
        <w:t xml:space="preserve">, plaintiffs may have a cause of action for declaratory and </w:t>
      </w:r>
      <w:r w:rsidR="00CE26C0">
        <w:rPr>
          <w:rFonts w:ascii="Avenir Book" w:hAnsi="Avenir Book"/>
          <w:color w:val="000000"/>
        </w:rPr>
        <w:t>monetary</w:t>
      </w:r>
      <w:r w:rsidR="00AF1573" w:rsidRPr="009312EE">
        <w:rPr>
          <w:rFonts w:ascii="Avenir Book" w:hAnsi="Avenir Book"/>
          <w:color w:val="000000"/>
        </w:rPr>
        <w:t xml:space="preserve"> relief in federal court for current violations</w:t>
      </w:r>
      <w:r w:rsidR="00AF6B48" w:rsidRPr="009312EE">
        <w:rPr>
          <w:rFonts w:ascii="Avenir Book" w:hAnsi="Avenir Book"/>
          <w:color w:val="000000"/>
        </w:rPr>
        <w:t>;</w:t>
      </w:r>
      <w:r w:rsidR="00AF1573" w:rsidRPr="009312EE">
        <w:rPr>
          <w:rFonts w:ascii="Avenir Book" w:hAnsi="Avenir Book"/>
          <w:color w:val="000000"/>
        </w:rPr>
        <w:t xml:space="preserve"> </w:t>
      </w:r>
      <w:r w:rsidR="00AF6B48" w:rsidRPr="009312EE">
        <w:rPr>
          <w:rFonts w:ascii="Avenir Book" w:hAnsi="Avenir Book"/>
          <w:i/>
          <w:color w:val="000000"/>
        </w:rPr>
        <w:t>t</w:t>
      </w:r>
      <w:r w:rsidR="00AF1573" w:rsidRPr="009312EE">
        <w:rPr>
          <w:rFonts w:ascii="Avenir Book" w:hAnsi="Avenir Book"/>
          <w:i/>
          <w:color w:val="000000"/>
        </w:rPr>
        <w:t>hird</w:t>
      </w:r>
      <w:r w:rsidR="00AF1573" w:rsidRPr="009312EE">
        <w:rPr>
          <w:rFonts w:ascii="Avenir Book" w:hAnsi="Avenir Book"/>
          <w:color w:val="000000"/>
        </w:rPr>
        <w:t xml:space="preserve">, public defender systems can effectively </w:t>
      </w:r>
      <w:r w:rsidR="004432C2" w:rsidRPr="009312EE">
        <w:rPr>
          <w:rFonts w:ascii="Avenir Book" w:hAnsi="Avenir Book"/>
          <w:color w:val="000000"/>
        </w:rPr>
        <w:t xml:space="preserve">forestall </w:t>
      </w:r>
      <w:r w:rsidR="00AF1573" w:rsidRPr="009312EE">
        <w:rPr>
          <w:rFonts w:ascii="Avenir Book" w:hAnsi="Avenir Book"/>
          <w:color w:val="000000"/>
        </w:rPr>
        <w:t>such claims if they identify deficiencies early and endeavor to correct them</w:t>
      </w:r>
      <w:r w:rsidR="00AF6B48" w:rsidRPr="009312EE">
        <w:rPr>
          <w:rFonts w:ascii="Avenir Book" w:hAnsi="Avenir Book"/>
          <w:color w:val="000000"/>
        </w:rPr>
        <w:t>;</w:t>
      </w:r>
      <w:r w:rsidR="00AF1573" w:rsidRPr="009312EE">
        <w:rPr>
          <w:rFonts w:ascii="Avenir Book" w:hAnsi="Avenir Book"/>
          <w:color w:val="000000"/>
        </w:rPr>
        <w:t xml:space="preserve"> </w:t>
      </w:r>
      <w:r w:rsidR="00AF6B48" w:rsidRPr="009312EE">
        <w:rPr>
          <w:rFonts w:ascii="Avenir Book" w:hAnsi="Avenir Book"/>
          <w:color w:val="000000"/>
        </w:rPr>
        <w:t>a</w:t>
      </w:r>
      <w:r w:rsidR="00AF1573" w:rsidRPr="009312EE">
        <w:rPr>
          <w:rFonts w:ascii="Avenir Book" w:hAnsi="Avenir Book"/>
          <w:color w:val="000000"/>
        </w:rPr>
        <w:t xml:space="preserve">nd </w:t>
      </w:r>
      <w:r w:rsidR="00AF1573" w:rsidRPr="009312EE">
        <w:rPr>
          <w:rFonts w:ascii="Avenir Book" w:hAnsi="Avenir Book"/>
          <w:i/>
          <w:color w:val="000000"/>
        </w:rPr>
        <w:t>fourth</w:t>
      </w:r>
      <w:r w:rsidR="00AF1573" w:rsidRPr="009312EE">
        <w:rPr>
          <w:rFonts w:ascii="Avenir Book" w:hAnsi="Avenir Book"/>
          <w:color w:val="000000"/>
        </w:rPr>
        <w:t>, courts take a public defender office’s improvement efforts into consideration — even if those efforts do not completely remedy the deficiency — when considering how to adjudicate these claims.</w:t>
      </w:r>
    </w:p>
    <w:p w14:paraId="50B7940F" w14:textId="77777777" w:rsidR="009312EE" w:rsidRPr="009312EE" w:rsidRDefault="009312EE" w:rsidP="009312EE">
      <w:pPr>
        <w:spacing w:line="360" w:lineRule="auto"/>
        <w:ind w:firstLine="720"/>
        <w:jc w:val="both"/>
        <w:rPr>
          <w:rFonts w:ascii="Avenir Book" w:hAnsi="Avenir Book"/>
          <w:color w:val="000000"/>
        </w:rPr>
      </w:pPr>
    </w:p>
    <w:p w14:paraId="1EAD3D7A" w14:textId="2DB7D14D" w:rsidR="008063CA" w:rsidRPr="008063CA" w:rsidRDefault="00766378" w:rsidP="009312EE">
      <w:pPr>
        <w:pStyle w:val="Head3"/>
      </w:pPr>
      <w:bookmarkStart w:id="38" w:name="_Toc62730393"/>
      <w:r w:rsidRPr="009312EE">
        <w:t>Risk Mitigation</w:t>
      </w:r>
      <w:bookmarkEnd w:id="38"/>
    </w:p>
    <w:p w14:paraId="771C3128" w14:textId="075E7D7F" w:rsidR="001216AC" w:rsidRPr="009312EE" w:rsidRDefault="00AF6B48" w:rsidP="009312EE">
      <w:pPr>
        <w:spacing w:line="360" w:lineRule="auto"/>
        <w:ind w:firstLine="720"/>
        <w:jc w:val="both"/>
        <w:rPr>
          <w:rFonts w:ascii="Avenir Book" w:hAnsi="Avenir Book"/>
          <w:color w:val="000000"/>
        </w:rPr>
      </w:pPr>
      <w:r w:rsidRPr="009312EE">
        <w:rPr>
          <w:rFonts w:ascii="Avenir Book" w:hAnsi="Avenir Book"/>
        </w:rPr>
        <w:t>S</w:t>
      </w:r>
      <w:r w:rsidR="001216AC" w:rsidRPr="009312EE">
        <w:rPr>
          <w:rFonts w:ascii="Avenir Book" w:hAnsi="Avenir Book"/>
        </w:rPr>
        <w:t>tate and local governments should contemplate what systems, policies, and practices that they can put into effect in their public defender offices to reduce the risk of becoming subject to litigation.</w:t>
      </w:r>
      <w:r w:rsidR="00776E05" w:rsidRPr="009312EE">
        <w:rPr>
          <w:rFonts w:ascii="Avenir Book" w:hAnsi="Avenir Book"/>
        </w:rPr>
        <w:t xml:space="preserve"> In the face of potential litigation, county governments can point to systems that they have put in place to ensure that indigent defendants are receiving competent representation, both individually and systemically.</w:t>
      </w:r>
    </w:p>
    <w:p w14:paraId="0F96C272" w14:textId="057ACC41" w:rsidR="000F6C1C" w:rsidRPr="009312EE" w:rsidRDefault="001216AC" w:rsidP="009312EE">
      <w:pPr>
        <w:spacing w:line="360" w:lineRule="auto"/>
        <w:ind w:firstLine="720"/>
        <w:jc w:val="both"/>
        <w:rPr>
          <w:rFonts w:ascii="Avenir Book" w:hAnsi="Avenir Book"/>
          <w:color w:val="000000"/>
        </w:rPr>
      </w:pPr>
      <w:r w:rsidRPr="009312EE">
        <w:rPr>
          <w:rFonts w:ascii="Avenir Book" w:hAnsi="Avenir Book"/>
          <w:color w:val="000000"/>
        </w:rPr>
        <w:t>Examining the cases above reveals several areas where public defender offices</w:t>
      </w:r>
      <w:r w:rsidR="00B50506" w:rsidRPr="009312EE">
        <w:rPr>
          <w:rFonts w:ascii="Avenir Book" w:hAnsi="Avenir Book"/>
          <w:color w:val="000000"/>
        </w:rPr>
        <w:t xml:space="preserve"> may be v</w:t>
      </w:r>
      <w:r w:rsidR="00023624" w:rsidRPr="009312EE">
        <w:rPr>
          <w:rFonts w:ascii="Avenir Book" w:hAnsi="Avenir Book"/>
          <w:color w:val="000000"/>
        </w:rPr>
        <w:t>ulnerable to scrutiny. In this R</w:t>
      </w:r>
      <w:r w:rsidR="00B50506" w:rsidRPr="009312EE">
        <w:rPr>
          <w:rFonts w:ascii="Avenir Book" w:hAnsi="Avenir Book"/>
          <w:color w:val="000000"/>
        </w:rPr>
        <w:t>eport</w:t>
      </w:r>
      <w:r w:rsidR="00023624" w:rsidRPr="009312EE">
        <w:rPr>
          <w:rFonts w:ascii="Avenir Book" w:hAnsi="Avenir Book"/>
          <w:color w:val="000000"/>
        </w:rPr>
        <w:t>,</w:t>
      </w:r>
      <w:r w:rsidR="00B50506" w:rsidRPr="009312EE">
        <w:rPr>
          <w:rFonts w:ascii="Avenir Book" w:hAnsi="Avenir Book"/>
          <w:color w:val="000000"/>
        </w:rPr>
        <w:t xml:space="preserve"> we will focus on the following areas: caseload management</w:t>
      </w:r>
      <w:r w:rsidR="00CE26C0">
        <w:rPr>
          <w:rFonts w:ascii="Avenir Book" w:hAnsi="Avenir Book"/>
          <w:color w:val="000000"/>
        </w:rPr>
        <w:t>;</w:t>
      </w:r>
      <w:r w:rsidR="00B50506" w:rsidRPr="009312EE">
        <w:rPr>
          <w:rFonts w:ascii="Avenir Book" w:hAnsi="Avenir Book"/>
          <w:color w:val="000000"/>
        </w:rPr>
        <w:t xml:space="preserve"> attorney training; attorney supervision; structure of attorney representation; and compliance with national public defense standards. While these issues all implicate adequacy of funding, as discussed earlier in this section, they can also be examined through the lens of internal office structures and policies.</w:t>
      </w:r>
    </w:p>
    <w:p w14:paraId="2ACFE4EA" w14:textId="7FE5463E" w:rsidR="000F6C1C" w:rsidRDefault="000F6C1C" w:rsidP="009312EE">
      <w:pPr>
        <w:pStyle w:val="head4"/>
      </w:pPr>
      <w:bookmarkStart w:id="39" w:name="_Toc62730394"/>
      <w:r>
        <w:lastRenderedPageBreak/>
        <w:t>Caseload Management</w:t>
      </w:r>
      <w:bookmarkEnd w:id="39"/>
    </w:p>
    <w:p w14:paraId="048DA706" w14:textId="175AB04E" w:rsidR="000F6C1C" w:rsidRPr="009312EE" w:rsidRDefault="000F6C1C" w:rsidP="009312EE">
      <w:pPr>
        <w:spacing w:line="360" w:lineRule="auto"/>
        <w:ind w:firstLine="720"/>
        <w:jc w:val="both"/>
        <w:rPr>
          <w:rFonts w:ascii="Avenir Book" w:hAnsi="Avenir Book"/>
          <w:color w:val="000000"/>
        </w:rPr>
      </w:pPr>
      <w:r w:rsidRPr="009312EE">
        <w:rPr>
          <w:rFonts w:ascii="Avenir Book" w:hAnsi="Avenir Book"/>
          <w:color w:val="000000"/>
        </w:rPr>
        <w:t xml:space="preserve">To </w:t>
      </w:r>
      <w:r w:rsidR="008004A6" w:rsidRPr="009312EE">
        <w:rPr>
          <w:rFonts w:ascii="Avenir Book" w:hAnsi="Avenir Book"/>
          <w:color w:val="000000"/>
        </w:rPr>
        <w:t>ensure optimal attorney performance</w:t>
      </w:r>
      <w:r w:rsidRPr="009312EE">
        <w:rPr>
          <w:rFonts w:ascii="Avenir Book" w:hAnsi="Avenir Book"/>
          <w:color w:val="000000"/>
        </w:rPr>
        <w:t>, the caseloads of defense attorneys should be effectively managed and kept to reasonable levels. An attorney’s caseload is defined as all cases that they are expected to handle in a year,</w:t>
      </w:r>
      <w:r w:rsidRPr="009312EE">
        <w:rPr>
          <w:rFonts w:ascii="Avenir Book" w:hAnsi="Avenir Book"/>
          <w:color w:val="000000"/>
          <w:vertAlign w:val="superscript"/>
        </w:rPr>
        <w:t xml:space="preserve"> </w:t>
      </w:r>
      <w:r w:rsidRPr="009312EE">
        <w:rPr>
          <w:rFonts w:ascii="Avenir Book" w:hAnsi="Avenir Book"/>
          <w:color w:val="000000"/>
          <w:vertAlign w:val="superscript"/>
        </w:rPr>
        <w:endnoteReference w:id="264"/>
      </w:r>
      <w:r w:rsidRPr="009312EE">
        <w:rPr>
          <w:rFonts w:ascii="Avenir Book" w:hAnsi="Avenir Book"/>
          <w:color w:val="000000"/>
        </w:rPr>
        <w:t xml:space="preserve"> and should factor in both the number of cases and their complexity.</w:t>
      </w:r>
      <w:r w:rsidRPr="009312EE">
        <w:rPr>
          <w:rFonts w:ascii="Avenir Book" w:hAnsi="Avenir Book"/>
          <w:color w:val="000000"/>
          <w:vertAlign w:val="superscript"/>
        </w:rPr>
        <w:endnoteReference w:id="265"/>
      </w:r>
      <w:r w:rsidRPr="009312EE">
        <w:rPr>
          <w:rFonts w:ascii="Avenir Book" w:hAnsi="Avenir Book"/>
          <w:color w:val="000000"/>
        </w:rPr>
        <w:t xml:space="preserve"> Indigent defense attorneys also have duties that extend beyond their caseloads.</w:t>
      </w:r>
      <w:r w:rsidRPr="009312EE">
        <w:rPr>
          <w:rFonts w:ascii="Avenir Book" w:hAnsi="Avenir Book"/>
          <w:color w:val="000000"/>
          <w:vertAlign w:val="superscript"/>
        </w:rPr>
        <w:endnoteReference w:id="266"/>
      </w:r>
      <w:r w:rsidRPr="009312EE">
        <w:rPr>
          <w:rFonts w:ascii="Avenir Book" w:hAnsi="Avenir Book"/>
          <w:color w:val="000000"/>
        </w:rPr>
        <w:t xml:space="preserve"> An attorney’s workload additionally factors in  duties like performing administrative tasks, attending training, or fulfilling supervisory responsibilities.</w:t>
      </w:r>
      <w:r w:rsidRPr="009312EE">
        <w:rPr>
          <w:rFonts w:ascii="Avenir Book" w:hAnsi="Avenir Book"/>
          <w:color w:val="000000"/>
          <w:vertAlign w:val="superscript"/>
        </w:rPr>
        <w:endnoteReference w:id="267"/>
      </w:r>
      <w:r w:rsidRPr="009312EE">
        <w:rPr>
          <w:rFonts w:ascii="Avenir Book" w:hAnsi="Avenir Book"/>
          <w:color w:val="000000"/>
        </w:rPr>
        <w:t xml:space="preserve"> As the American prison population has “grown more than tenfold” since </w:t>
      </w:r>
      <w:r w:rsidRPr="009312EE">
        <w:rPr>
          <w:rFonts w:ascii="Avenir Book" w:hAnsi="Avenir Book"/>
          <w:i/>
          <w:color w:val="000000"/>
        </w:rPr>
        <w:t>Gideon</w:t>
      </w:r>
      <w:r w:rsidRPr="009312EE">
        <w:rPr>
          <w:rFonts w:ascii="Avenir Book" w:hAnsi="Avenir Book"/>
          <w:color w:val="000000"/>
        </w:rPr>
        <w:t>, both the caseloads and workloads of indigent defense attorneys have also dramatically increased.</w:t>
      </w:r>
      <w:r w:rsidRPr="009312EE">
        <w:rPr>
          <w:rFonts w:ascii="Avenir Book" w:hAnsi="Avenir Book"/>
          <w:color w:val="000000"/>
          <w:vertAlign w:val="superscript"/>
        </w:rPr>
        <w:endnoteReference w:id="268"/>
      </w:r>
    </w:p>
    <w:p w14:paraId="494D45A1" w14:textId="77777777" w:rsidR="000F6C1C" w:rsidRPr="009312EE" w:rsidRDefault="000F6C1C" w:rsidP="009312EE">
      <w:pPr>
        <w:spacing w:line="360" w:lineRule="auto"/>
        <w:ind w:firstLine="720"/>
        <w:jc w:val="both"/>
        <w:rPr>
          <w:rFonts w:ascii="Avenir Book" w:hAnsi="Avenir Book"/>
          <w:color w:val="000000"/>
        </w:rPr>
      </w:pPr>
      <w:r w:rsidRPr="009312EE">
        <w:rPr>
          <w:rFonts w:ascii="Avenir Book" w:hAnsi="Avenir Book"/>
          <w:color w:val="000000"/>
        </w:rPr>
        <w:t>An attorney’s caseload and workload must be controlled to ensure that they can deliver quality representation for their clients.</w:t>
      </w:r>
      <w:r w:rsidRPr="009312EE">
        <w:rPr>
          <w:rFonts w:ascii="Avenir Book" w:hAnsi="Avenir Book"/>
          <w:color w:val="000000"/>
          <w:vertAlign w:val="superscript"/>
        </w:rPr>
        <w:endnoteReference w:id="269"/>
      </w:r>
      <w:r w:rsidRPr="009312EE">
        <w:rPr>
          <w:rFonts w:ascii="Avenir Book" w:hAnsi="Avenir Book"/>
          <w:color w:val="000000"/>
        </w:rPr>
        <w:t xml:space="preserve"> </w:t>
      </w:r>
      <w:r w:rsidR="001F717E" w:rsidRPr="009312EE">
        <w:rPr>
          <w:rFonts w:ascii="Avenir Book" w:hAnsi="Avenir Book"/>
          <w:color w:val="000000"/>
        </w:rPr>
        <w:t>Caseloads may be classified as excessive when they reach the level where they may be expected to materially interfere with the attorney’s ability to provide assistance to existing clients.</w:t>
      </w:r>
      <w:r w:rsidR="001F717E" w:rsidRPr="009312EE">
        <w:rPr>
          <w:rFonts w:ascii="Avenir Book" w:hAnsi="Avenir Book"/>
          <w:color w:val="000000"/>
          <w:vertAlign w:val="superscript"/>
        </w:rPr>
        <w:endnoteReference w:id="270"/>
      </w:r>
      <w:r w:rsidR="001F717E" w:rsidRPr="009312EE">
        <w:rPr>
          <w:rFonts w:ascii="Avenir Book" w:hAnsi="Avenir Book"/>
          <w:color w:val="000000"/>
        </w:rPr>
        <w:t xml:space="preserve"> </w:t>
      </w:r>
      <w:r w:rsidRPr="009312EE">
        <w:rPr>
          <w:rFonts w:ascii="Avenir Book" w:hAnsi="Avenir Book"/>
          <w:color w:val="000000"/>
        </w:rPr>
        <w:t>When attorneys have excessive caseloads, they may be forced to prioritize certain clients over others and may be prevented from performing essential tasks like conducting interviews, requesting support services, or adequately preparing for hearings and trials.</w:t>
      </w:r>
      <w:r w:rsidRPr="009312EE">
        <w:rPr>
          <w:rFonts w:ascii="Avenir Book" w:hAnsi="Avenir Book"/>
          <w:color w:val="000000"/>
          <w:vertAlign w:val="superscript"/>
        </w:rPr>
        <w:endnoteReference w:id="271"/>
      </w:r>
      <w:r w:rsidRPr="009312EE">
        <w:rPr>
          <w:rFonts w:ascii="Avenir Book" w:hAnsi="Avenir Book"/>
          <w:color w:val="000000"/>
        </w:rPr>
        <w:t xml:space="preserve"> The ABA states that an attorney’s caseload should never be allowed to become so large as to interfere with their ability to render quality representation.</w:t>
      </w:r>
      <w:r w:rsidRPr="009312EE">
        <w:rPr>
          <w:rFonts w:ascii="Avenir Book" w:hAnsi="Avenir Book"/>
          <w:color w:val="000000"/>
          <w:vertAlign w:val="superscript"/>
        </w:rPr>
        <w:endnoteReference w:id="272"/>
      </w:r>
      <w:r w:rsidRPr="009312EE">
        <w:rPr>
          <w:rFonts w:ascii="Avenir Book" w:hAnsi="Avenir Book"/>
          <w:color w:val="000000"/>
        </w:rPr>
        <w:t xml:space="preserve"> The NAPD counsels that defense attorneys have reasonable workloads that enable them to provide competent and effective assistance of counsel.</w:t>
      </w:r>
      <w:r w:rsidRPr="009312EE">
        <w:rPr>
          <w:rFonts w:ascii="Avenir Book" w:hAnsi="Avenir Book"/>
          <w:color w:val="000000"/>
          <w:vertAlign w:val="superscript"/>
        </w:rPr>
        <w:endnoteReference w:id="273"/>
      </w:r>
    </w:p>
    <w:p w14:paraId="34751106" w14:textId="77777777" w:rsidR="000F6C1C" w:rsidRPr="009312EE" w:rsidRDefault="000F6C1C" w:rsidP="009312EE">
      <w:pPr>
        <w:spacing w:line="360" w:lineRule="auto"/>
        <w:ind w:firstLine="720"/>
        <w:jc w:val="both"/>
        <w:rPr>
          <w:rFonts w:ascii="Avenir Book" w:hAnsi="Avenir Book"/>
          <w:color w:val="000000"/>
        </w:rPr>
      </w:pPr>
      <w:r w:rsidRPr="009312EE">
        <w:rPr>
          <w:rFonts w:ascii="Avenir Book" w:hAnsi="Avenir Book"/>
          <w:color w:val="000000"/>
        </w:rPr>
        <w:t>Caseload maximums can be used to ensure that public defenders can provide optimal representation to all clients.</w:t>
      </w:r>
      <w:r w:rsidRPr="009312EE">
        <w:rPr>
          <w:rFonts w:ascii="Avenir Book" w:hAnsi="Avenir Book"/>
          <w:color w:val="000000"/>
          <w:vertAlign w:val="superscript"/>
        </w:rPr>
        <w:endnoteReference w:id="274"/>
      </w:r>
      <w:r w:rsidRPr="009312EE">
        <w:rPr>
          <w:rFonts w:ascii="Avenir Book" w:hAnsi="Avenir Book"/>
          <w:color w:val="000000"/>
        </w:rPr>
        <w:t xml:space="preserve"> Caseload maximums can guarantee that defense attorneys have the ability to properly develop relationships with their clients, which can allow clients to participate more fully in their cases.</w:t>
      </w:r>
      <w:r w:rsidRPr="009312EE">
        <w:rPr>
          <w:rFonts w:ascii="Avenir Book" w:hAnsi="Avenir Book"/>
          <w:color w:val="000000"/>
          <w:vertAlign w:val="superscript"/>
        </w:rPr>
        <w:endnoteReference w:id="275"/>
      </w:r>
      <w:r w:rsidRPr="009312EE">
        <w:rPr>
          <w:rFonts w:ascii="Avenir Book" w:hAnsi="Avenir Book"/>
          <w:color w:val="000000"/>
        </w:rPr>
        <w:t xml:space="preserve"> Maximums can also afford defense attorneys more time to conduct comprehensive investigations of their cases, thereby </w:t>
      </w:r>
      <w:r w:rsidRPr="009312EE">
        <w:rPr>
          <w:rFonts w:ascii="Avenir Book" w:hAnsi="Avenir Book"/>
          <w:color w:val="000000"/>
        </w:rPr>
        <w:lastRenderedPageBreak/>
        <w:t>improving their ability to prepare for trial and resolve cases in an ideal manner.</w:t>
      </w:r>
      <w:r w:rsidRPr="009312EE">
        <w:rPr>
          <w:rFonts w:ascii="Avenir Book" w:hAnsi="Avenir Book"/>
          <w:color w:val="000000"/>
          <w:vertAlign w:val="superscript"/>
        </w:rPr>
        <w:endnoteReference w:id="276"/>
      </w:r>
      <w:r w:rsidRPr="009312EE">
        <w:rPr>
          <w:rFonts w:ascii="Avenir Book" w:hAnsi="Avenir Book"/>
          <w:color w:val="000000"/>
        </w:rPr>
        <w:t xml:space="preserve"> This system also removes some of the pressure that attorneys may feel to resolve cases expediently.</w:t>
      </w:r>
      <w:r w:rsidRPr="009312EE">
        <w:rPr>
          <w:rFonts w:ascii="Avenir Book" w:hAnsi="Avenir Book"/>
          <w:color w:val="000000"/>
          <w:vertAlign w:val="superscript"/>
        </w:rPr>
        <w:endnoteReference w:id="277"/>
      </w:r>
      <w:r w:rsidRPr="009312EE">
        <w:rPr>
          <w:rFonts w:ascii="Avenir Book" w:hAnsi="Avenir Book"/>
          <w:color w:val="000000"/>
        </w:rPr>
        <w:t xml:space="preserve"> </w:t>
      </w:r>
    </w:p>
    <w:p w14:paraId="0A1ADD5D" w14:textId="02E16221" w:rsidR="000F6C1C" w:rsidRPr="009312EE" w:rsidRDefault="000F6C1C" w:rsidP="009312EE">
      <w:pPr>
        <w:spacing w:line="360" w:lineRule="auto"/>
        <w:ind w:firstLine="720"/>
        <w:jc w:val="both"/>
        <w:rPr>
          <w:rFonts w:ascii="Avenir Book" w:hAnsi="Avenir Book"/>
          <w:color w:val="000000"/>
        </w:rPr>
      </w:pPr>
      <w:r w:rsidRPr="009312EE">
        <w:rPr>
          <w:rFonts w:ascii="Avenir Book" w:hAnsi="Avenir Book"/>
          <w:color w:val="000000"/>
        </w:rPr>
        <w:t>In 1973, the U.S. Department of Justice’s National Advisory Commission on Criminal Justice Standards and Goals (NAC) established caseload maximum standards, recommending that even under the best conditions, single defense attorney caseloads should not exceed 150 felonies per year, 400 misdemeanors per year, or 200 juvenile cases per year.</w:t>
      </w:r>
      <w:r w:rsidRPr="009312EE">
        <w:rPr>
          <w:rFonts w:ascii="Avenir Book" w:hAnsi="Avenir Book"/>
          <w:color w:val="000000"/>
          <w:vertAlign w:val="superscript"/>
        </w:rPr>
        <w:endnoteReference w:id="278"/>
      </w:r>
      <w:r w:rsidRPr="009312EE">
        <w:rPr>
          <w:rFonts w:ascii="Avenir Book" w:hAnsi="Avenir Book"/>
          <w:color w:val="000000"/>
        </w:rPr>
        <w:t xml:space="preserve"> Nearly forty years after their establishment, many believe the NAC standards to be too high and outdated, principally because they were never empirically based</w:t>
      </w:r>
      <w:r w:rsidRPr="009312EE">
        <w:rPr>
          <w:rFonts w:ascii="Avenir Book" w:hAnsi="Avenir Book"/>
          <w:color w:val="000000"/>
          <w:vertAlign w:val="superscript"/>
        </w:rPr>
        <w:endnoteReference w:id="279"/>
      </w:r>
      <w:r w:rsidRPr="009312EE">
        <w:rPr>
          <w:rFonts w:ascii="Avenir Book" w:hAnsi="Avenir Book"/>
          <w:color w:val="000000"/>
        </w:rPr>
        <w:t xml:space="preserve"> and were established during a time when criminal cases “were a lot less complex.”</w:t>
      </w:r>
      <w:r w:rsidRPr="009312EE">
        <w:rPr>
          <w:rFonts w:ascii="Avenir Book" w:hAnsi="Avenir Book"/>
          <w:color w:val="000000"/>
          <w:vertAlign w:val="superscript"/>
        </w:rPr>
        <w:endnoteReference w:id="280"/>
      </w:r>
      <w:r w:rsidRPr="009312EE">
        <w:rPr>
          <w:rFonts w:ascii="Avenir Book" w:hAnsi="Avenir Book"/>
          <w:color w:val="000000"/>
        </w:rPr>
        <w:t xml:space="preserve"> An indigent defense attorney would, on average, need to dedicate a year and a half’s worth of hours to complete a single year worth of cases under the NAC standards.</w:t>
      </w:r>
      <w:r w:rsidRPr="009312EE">
        <w:rPr>
          <w:rFonts w:ascii="Avenir Book" w:hAnsi="Avenir Book"/>
          <w:color w:val="000000"/>
          <w:vertAlign w:val="superscript"/>
        </w:rPr>
        <w:endnoteReference w:id="281"/>
      </w:r>
      <w:r w:rsidRPr="009312EE">
        <w:rPr>
          <w:rFonts w:ascii="Avenir Book" w:hAnsi="Avenir Book"/>
          <w:color w:val="000000"/>
        </w:rPr>
        <w:t xml:space="preserve"> </w:t>
      </w:r>
    </w:p>
    <w:p w14:paraId="43AAE584" w14:textId="77777777" w:rsidR="000F6C1C" w:rsidRPr="009312EE" w:rsidRDefault="000F6C1C" w:rsidP="009312EE">
      <w:pPr>
        <w:spacing w:line="360" w:lineRule="auto"/>
        <w:ind w:firstLine="720"/>
        <w:jc w:val="both"/>
        <w:rPr>
          <w:rFonts w:ascii="Avenir Book" w:hAnsi="Avenir Book"/>
          <w:color w:val="000000"/>
        </w:rPr>
      </w:pPr>
      <w:r w:rsidRPr="009312EE">
        <w:rPr>
          <w:rFonts w:ascii="Avenir Book" w:hAnsi="Avenir Book"/>
          <w:color w:val="000000"/>
        </w:rPr>
        <w:t>Some governing bodies have chosen to adopt the NAC standards or other similarly objective standards to define caseload maximums.</w:t>
      </w:r>
      <w:r w:rsidRPr="009312EE">
        <w:rPr>
          <w:rFonts w:ascii="Avenir Book" w:hAnsi="Avenir Book"/>
          <w:color w:val="000000"/>
          <w:vertAlign w:val="superscript"/>
        </w:rPr>
        <w:endnoteReference w:id="282"/>
      </w:r>
      <w:r w:rsidRPr="009312EE">
        <w:rPr>
          <w:rFonts w:ascii="Avenir Book" w:hAnsi="Avenir Book"/>
          <w:color w:val="000000"/>
        </w:rPr>
        <w:t xml:space="preserve"> Others have opted to develop a weighted caseload formula, based on the number of cases disposed each year, the average amount of time required to handle cases over the life of the case, and the amount of time each attorney has available for case-related work in a single year.</w:t>
      </w:r>
      <w:r w:rsidRPr="009312EE">
        <w:rPr>
          <w:rFonts w:ascii="Avenir Book" w:hAnsi="Avenir Book"/>
          <w:color w:val="000000"/>
          <w:vertAlign w:val="superscript"/>
        </w:rPr>
        <w:endnoteReference w:id="283"/>
      </w:r>
      <w:r w:rsidRPr="009312EE">
        <w:rPr>
          <w:rFonts w:ascii="Avenir Book" w:hAnsi="Avenir Book"/>
          <w:color w:val="000000"/>
        </w:rPr>
        <w:t xml:space="preserve"> Still other, like Michigan, have decided to take a hybrid approach — imposing objective standards as an interim measure, while conducting a weighed caseload study.</w:t>
      </w:r>
      <w:r w:rsidRPr="009312EE">
        <w:rPr>
          <w:rFonts w:ascii="Avenir Book" w:hAnsi="Avenir Book"/>
          <w:color w:val="000000"/>
          <w:vertAlign w:val="superscript"/>
        </w:rPr>
        <w:endnoteReference w:id="284"/>
      </w:r>
      <w:r w:rsidRPr="009312EE">
        <w:rPr>
          <w:rFonts w:ascii="Avenir Book" w:hAnsi="Avenir Book"/>
          <w:color w:val="000000"/>
        </w:rPr>
        <w:t xml:space="preserve"> </w:t>
      </w:r>
    </w:p>
    <w:p w14:paraId="0E33E3A8" w14:textId="1BBC6DC4" w:rsidR="00A5751A" w:rsidRPr="009312EE" w:rsidRDefault="000F6C1C" w:rsidP="009312EE">
      <w:pPr>
        <w:spacing w:line="360" w:lineRule="auto"/>
        <w:ind w:firstLine="720"/>
        <w:jc w:val="both"/>
        <w:rPr>
          <w:rFonts w:ascii="Avenir Book" w:hAnsi="Avenir Book"/>
          <w:color w:val="000000"/>
        </w:rPr>
      </w:pPr>
      <w:r w:rsidRPr="009312EE">
        <w:rPr>
          <w:rFonts w:ascii="Avenir Book" w:hAnsi="Avenir Book"/>
          <w:color w:val="000000"/>
        </w:rPr>
        <w:t xml:space="preserve">Still, many </w:t>
      </w:r>
      <w:r w:rsidR="003559EF" w:rsidRPr="009312EE">
        <w:rPr>
          <w:rFonts w:ascii="Avenir Book" w:hAnsi="Avenir Book"/>
          <w:color w:val="000000"/>
        </w:rPr>
        <w:t>public defender office</w:t>
      </w:r>
      <w:r w:rsidRPr="009312EE">
        <w:rPr>
          <w:rFonts w:ascii="Avenir Book" w:hAnsi="Avenir Book"/>
          <w:color w:val="000000"/>
        </w:rPr>
        <w:t>s effectively have no caseload control at all. For example, “a 2009 report found that defenders in New Orleans Parish were handling the equivalent of 19,000 misdemeanor cases per attorney annually. That means an average of about seven minutes per case.”</w:t>
      </w:r>
      <w:r w:rsidRPr="009312EE">
        <w:rPr>
          <w:rFonts w:ascii="Avenir Book" w:hAnsi="Avenir Book"/>
          <w:color w:val="000000"/>
          <w:vertAlign w:val="superscript"/>
        </w:rPr>
        <w:endnoteReference w:id="285"/>
      </w:r>
      <w:r w:rsidR="00CE26C0">
        <w:rPr>
          <w:rFonts w:ascii="Avenir Book" w:hAnsi="Avenir Book"/>
          <w:color w:val="000000"/>
        </w:rPr>
        <w:t xml:space="preserve"> </w:t>
      </w:r>
      <w:r w:rsidRPr="009312EE">
        <w:rPr>
          <w:rFonts w:ascii="Avenir Book" w:hAnsi="Avenir Book"/>
          <w:color w:val="000000"/>
        </w:rPr>
        <w:t>In</w:t>
      </w:r>
      <w:r w:rsidR="00CE26C0">
        <w:rPr>
          <w:rFonts w:ascii="Avenir Book" w:hAnsi="Avenir Book"/>
          <w:color w:val="000000"/>
        </w:rPr>
        <w:t xml:space="preserve"> cities like</w:t>
      </w:r>
      <w:r w:rsidRPr="009312EE">
        <w:rPr>
          <w:rFonts w:ascii="Avenir Book" w:hAnsi="Avenir Book"/>
          <w:color w:val="000000"/>
        </w:rPr>
        <w:t xml:space="preserve"> </w:t>
      </w:r>
      <w:r w:rsidR="00CE26C0">
        <w:rPr>
          <w:rFonts w:ascii="Avenir Book" w:hAnsi="Avenir Book"/>
          <w:color w:val="000000"/>
        </w:rPr>
        <w:t>“</w:t>
      </w:r>
      <w:r w:rsidRPr="009312EE">
        <w:rPr>
          <w:rFonts w:ascii="Avenir Book" w:hAnsi="Avenir Book"/>
          <w:color w:val="000000"/>
        </w:rPr>
        <w:t>Chicago, Miami, and Atlanta, defenders had more than 2,000 misdemeanor cases a year</w:t>
      </w:r>
      <w:r w:rsidR="00CE26C0">
        <w:rPr>
          <w:rFonts w:ascii="Avenir Book" w:hAnsi="Avenir Book"/>
          <w:color w:val="000000"/>
        </w:rPr>
        <w:t>,</w:t>
      </w:r>
      <w:r w:rsidRPr="009312EE">
        <w:rPr>
          <w:rFonts w:ascii="Avenir Book" w:hAnsi="Avenir Book"/>
          <w:color w:val="000000"/>
        </w:rPr>
        <w:t>”</w:t>
      </w:r>
      <w:r w:rsidR="00CE26C0">
        <w:rPr>
          <w:rFonts w:ascii="Avenir Book" w:hAnsi="Avenir Book"/>
          <w:color w:val="000000"/>
        </w:rPr>
        <w:t xml:space="preserve"> which still far exceeded the recommended maximum.</w:t>
      </w:r>
      <w:r w:rsidRPr="009312EE">
        <w:rPr>
          <w:rFonts w:ascii="Avenir Book" w:hAnsi="Avenir Book"/>
          <w:color w:val="000000"/>
          <w:vertAlign w:val="superscript"/>
        </w:rPr>
        <w:endnoteReference w:id="286"/>
      </w:r>
    </w:p>
    <w:p w14:paraId="77B14A51" w14:textId="6F4F3AD4" w:rsidR="000F6C1C" w:rsidRPr="009312EE" w:rsidRDefault="00D9163B" w:rsidP="009312EE">
      <w:pPr>
        <w:spacing w:line="360" w:lineRule="auto"/>
        <w:ind w:firstLine="720"/>
        <w:jc w:val="both"/>
        <w:rPr>
          <w:rFonts w:ascii="Avenir Book" w:hAnsi="Avenir Book"/>
          <w:color w:val="000000"/>
        </w:rPr>
      </w:pPr>
      <w:r w:rsidRPr="009312EE">
        <w:rPr>
          <w:rFonts w:ascii="Avenir Book" w:hAnsi="Avenir Book"/>
        </w:rPr>
        <w:lastRenderedPageBreak/>
        <w:t>A best practice is for a defender office to monitor and document attorney caseload and periodically have it reviewed to ensure that it permits competent representation and complies with national standards.</w:t>
      </w:r>
    </w:p>
    <w:p w14:paraId="41426F56" w14:textId="2BF23DAE" w:rsidR="000F6C1C" w:rsidRDefault="001216AC" w:rsidP="009312EE">
      <w:pPr>
        <w:pStyle w:val="head4"/>
      </w:pPr>
      <w:bookmarkStart w:id="40" w:name="_Toc62730395"/>
      <w:r>
        <w:t>Sufficiency of</w:t>
      </w:r>
      <w:r w:rsidR="000F6C1C">
        <w:t xml:space="preserve"> Training</w:t>
      </w:r>
      <w:bookmarkEnd w:id="40"/>
    </w:p>
    <w:p w14:paraId="2CB61D32" w14:textId="26D7F29C" w:rsidR="000F6C1C" w:rsidRPr="009312EE" w:rsidRDefault="000F6C1C" w:rsidP="009312EE">
      <w:pPr>
        <w:spacing w:line="360" w:lineRule="auto"/>
        <w:ind w:firstLine="720"/>
        <w:jc w:val="both"/>
        <w:rPr>
          <w:rFonts w:ascii="Avenir Book" w:hAnsi="Avenir Book"/>
          <w:color w:val="000000"/>
        </w:rPr>
      </w:pPr>
      <w:r w:rsidRPr="009312EE">
        <w:rPr>
          <w:rFonts w:ascii="Avenir Book" w:hAnsi="Avenir Book"/>
          <w:color w:val="000000"/>
        </w:rPr>
        <w:t>Initial training and ongoing education are crucial to ensuring that defense attorneys are capable of providing quality representation for their clients.</w:t>
      </w:r>
      <w:r w:rsidRPr="009312EE">
        <w:rPr>
          <w:rFonts w:ascii="Avenir Book" w:hAnsi="Avenir Book"/>
          <w:color w:val="000000"/>
          <w:vertAlign w:val="superscript"/>
        </w:rPr>
        <w:endnoteReference w:id="287"/>
      </w:r>
      <w:r w:rsidRPr="009312EE">
        <w:rPr>
          <w:rFonts w:ascii="Avenir Book" w:hAnsi="Avenir Book"/>
          <w:color w:val="000000"/>
        </w:rPr>
        <w:t xml:space="preserve"> Law school “marks the beginning” of an attorney’s professional education, with little practical training or specialization offered.</w:t>
      </w:r>
      <w:r w:rsidRPr="009312EE">
        <w:rPr>
          <w:rFonts w:ascii="Avenir Book" w:hAnsi="Avenir Book"/>
          <w:color w:val="000000"/>
          <w:vertAlign w:val="superscript"/>
        </w:rPr>
        <w:endnoteReference w:id="288"/>
      </w:r>
      <w:r w:rsidRPr="009312EE">
        <w:rPr>
          <w:rFonts w:ascii="Avenir Book" w:hAnsi="Avenir Book"/>
          <w:color w:val="000000"/>
        </w:rPr>
        <w:t xml:space="preserve"> Public defenders are thus expected to receive criminal defense-specific training while “on-the-job” and through continuing legal education.</w:t>
      </w:r>
      <w:r w:rsidRPr="009312EE">
        <w:rPr>
          <w:rFonts w:ascii="Avenir Book" w:hAnsi="Avenir Book"/>
          <w:color w:val="000000"/>
          <w:vertAlign w:val="superscript"/>
        </w:rPr>
        <w:endnoteReference w:id="289"/>
      </w:r>
      <w:r w:rsidRPr="009312EE">
        <w:rPr>
          <w:rFonts w:ascii="Avenir Book" w:hAnsi="Avenir Book"/>
          <w:color w:val="000000"/>
        </w:rPr>
        <w:t xml:space="preserve"> Both types of training are important to the effective delivery of indigent defense services, as the practice of criminal law is a “complex field necessitating continuous and comprehensive training.”</w:t>
      </w:r>
      <w:r w:rsidRPr="009312EE">
        <w:rPr>
          <w:rFonts w:ascii="Avenir Book" w:hAnsi="Avenir Book"/>
          <w:color w:val="000000"/>
          <w:vertAlign w:val="superscript"/>
        </w:rPr>
        <w:endnoteReference w:id="290"/>
      </w:r>
      <w:r w:rsidRPr="009312EE">
        <w:rPr>
          <w:rFonts w:ascii="Avenir Book" w:hAnsi="Avenir Book"/>
          <w:color w:val="000000"/>
        </w:rPr>
        <w:t xml:space="preserve">  A robust training program can provide both initial exposure to criminal law and procedure as well regular updates to keep defense attorneys current on both the law and new developments in criminal practice.</w:t>
      </w:r>
      <w:r w:rsidRPr="009312EE">
        <w:rPr>
          <w:rFonts w:ascii="Avenir Book" w:hAnsi="Avenir Book"/>
          <w:color w:val="000000"/>
          <w:vertAlign w:val="superscript"/>
        </w:rPr>
        <w:endnoteReference w:id="291"/>
      </w:r>
    </w:p>
    <w:p w14:paraId="618AD0AB" w14:textId="5B5C64A7" w:rsidR="003638EE" w:rsidRPr="009312EE" w:rsidRDefault="003638EE" w:rsidP="009312EE">
      <w:pPr>
        <w:spacing w:line="360" w:lineRule="auto"/>
        <w:ind w:firstLine="720"/>
        <w:jc w:val="both"/>
        <w:rPr>
          <w:rFonts w:ascii="Avenir Book" w:hAnsi="Avenir Book"/>
        </w:rPr>
      </w:pPr>
      <w:r w:rsidRPr="009312EE">
        <w:rPr>
          <w:rFonts w:ascii="Avenir Book" w:hAnsi="Avenir Book"/>
        </w:rPr>
        <w:t>The Sixth and Ninth ABA Principles discuss the training of lawyers in public defense systems, which is integral to the culture of any public defender office. The Sixth ABA Principle requires public defenders to be adequately trained for the complexity of the cases they are handling.</w:t>
      </w:r>
      <w:r w:rsidRPr="009312EE">
        <w:rPr>
          <w:rFonts w:ascii="Avenir Book" w:hAnsi="Avenir Book"/>
          <w:vertAlign w:val="superscript"/>
        </w:rPr>
        <w:endnoteReference w:id="292"/>
      </w:r>
      <w:r w:rsidRPr="009312EE">
        <w:rPr>
          <w:rFonts w:ascii="Avenir Book" w:hAnsi="Avenir Book"/>
        </w:rPr>
        <w:t xml:space="preserve"> The Ninth ABA Principle states that public defenders  be provided with (and required to attend) mandatory continuing legal training.</w:t>
      </w:r>
      <w:r w:rsidRPr="009312EE">
        <w:rPr>
          <w:rFonts w:ascii="Avenir Book" w:hAnsi="Avenir Book"/>
          <w:vertAlign w:val="superscript"/>
        </w:rPr>
        <w:endnoteReference w:id="293"/>
      </w:r>
      <w:r w:rsidRPr="009312EE">
        <w:rPr>
          <w:rFonts w:ascii="Avenir Book" w:hAnsi="Avenir Book"/>
        </w:rPr>
        <w:t xml:space="preserve"> Public defense practitioners (including both attorney and non-attorney staff) should have “systematic and comprehensive training” in their area of practice that is “at least equal” to what is received by prosecutors.</w:t>
      </w:r>
      <w:r w:rsidRPr="009312EE">
        <w:rPr>
          <w:rFonts w:ascii="Avenir Book" w:hAnsi="Avenir Book"/>
          <w:vertAlign w:val="superscript"/>
        </w:rPr>
        <w:endnoteReference w:id="294"/>
      </w:r>
    </w:p>
    <w:p w14:paraId="0F1FA42F" w14:textId="4D90C2D6" w:rsidR="00F044EA" w:rsidRPr="009312EE" w:rsidRDefault="000F6C1C" w:rsidP="00CE26C0">
      <w:pPr>
        <w:spacing w:line="360" w:lineRule="auto"/>
        <w:ind w:firstLine="720"/>
        <w:jc w:val="both"/>
        <w:rPr>
          <w:rFonts w:ascii="Avenir Book" w:hAnsi="Avenir Book"/>
          <w:color w:val="000000"/>
        </w:rPr>
      </w:pPr>
      <w:r w:rsidRPr="009312EE">
        <w:rPr>
          <w:rFonts w:ascii="Avenir Book" w:hAnsi="Avenir Book"/>
          <w:color w:val="000000"/>
        </w:rPr>
        <w:t>States and local governments may dedicate a portion of their indigent defense funding toward providing effective training, professional development, and continuing education to defense attorneys and other staff.</w:t>
      </w:r>
      <w:r w:rsidRPr="009312EE">
        <w:rPr>
          <w:rFonts w:ascii="Avenir Book" w:hAnsi="Avenir Book"/>
          <w:color w:val="000000"/>
          <w:vertAlign w:val="superscript"/>
        </w:rPr>
        <w:endnoteReference w:id="295"/>
      </w:r>
      <w:r w:rsidRPr="009312EE">
        <w:rPr>
          <w:rFonts w:ascii="Avenir Book" w:hAnsi="Avenir Book"/>
          <w:color w:val="000000"/>
        </w:rPr>
        <w:t xml:space="preserve"> Training may be delivered statewide or at a local level; it can also be internal to the organization or provided externally. </w:t>
      </w:r>
      <w:r w:rsidRPr="009312EE">
        <w:rPr>
          <w:rFonts w:ascii="Avenir Book" w:hAnsi="Avenir Book"/>
          <w:color w:val="000000"/>
        </w:rPr>
        <w:lastRenderedPageBreak/>
        <w:t>Defense attorneys may also choose to create an educational and resource sharing forum to fill any gaps in available training.</w:t>
      </w:r>
      <w:r w:rsidRPr="009312EE">
        <w:rPr>
          <w:rFonts w:ascii="Avenir Book" w:hAnsi="Avenir Book"/>
          <w:color w:val="000000"/>
          <w:vertAlign w:val="superscript"/>
        </w:rPr>
        <w:endnoteReference w:id="296"/>
      </w:r>
      <w:r w:rsidRPr="009312EE">
        <w:rPr>
          <w:rFonts w:ascii="Avenir Book" w:hAnsi="Avenir Book"/>
          <w:color w:val="000000"/>
        </w:rPr>
        <w:t xml:space="preserve"> Providing mandatory entry-level and continuing training fosters an “atmosphere of learning and innovation,” helps disperse the flow of information throughout a </w:t>
      </w:r>
      <w:r w:rsidR="003559EF" w:rsidRPr="009312EE">
        <w:rPr>
          <w:rFonts w:ascii="Avenir Book" w:hAnsi="Avenir Book"/>
          <w:color w:val="000000"/>
        </w:rPr>
        <w:t>public defender office</w:t>
      </w:r>
      <w:r w:rsidRPr="009312EE">
        <w:rPr>
          <w:rFonts w:ascii="Avenir Book" w:hAnsi="Avenir Book"/>
          <w:color w:val="000000"/>
        </w:rPr>
        <w:t>,</w:t>
      </w:r>
      <w:r w:rsidR="00033591">
        <w:rPr>
          <w:rFonts w:ascii="Avenir Book" w:hAnsi="Avenir Book"/>
          <w:color w:val="000000"/>
        </w:rPr>
        <w:t xml:space="preserve"> </w:t>
      </w:r>
      <w:r w:rsidRPr="009312EE">
        <w:rPr>
          <w:rFonts w:ascii="Avenir Book" w:hAnsi="Avenir Book"/>
          <w:color w:val="000000"/>
        </w:rPr>
        <w:t>and gives senior attorneys an opportunity to share their wisdom and experience with more junior attorneys.</w:t>
      </w:r>
      <w:r w:rsidRPr="009312EE">
        <w:rPr>
          <w:rFonts w:ascii="Avenir Book" w:hAnsi="Avenir Book"/>
          <w:color w:val="000000"/>
          <w:vertAlign w:val="superscript"/>
        </w:rPr>
        <w:endnoteReference w:id="297"/>
      </w:r>
    </w:p>
    <w:p w14:paraId="36E60139" w14:textId="4AF62682" w:rsidR="000F6C1C" w:rsidRDefault="008063CA" w:rsidP="00F618E9">
      <w:pPr>
        <w:pStyle w:val="head4"/>
      </w:pPr>
      <w:bookmarkStart w:id="41" w:name="_Toc62730396"/>
      <w:r>
        <w:t xml:space="preserve">Attorney </w:t>
      </w:r>
      <w:r w:rsidR="000F6C1C">
        <w:t>Supervision</w:t>
      </w:r>
      <w:bookmarkEnd w:id="41"/>
    </w:p>
    <w:p w14:paraId="30C9C525" w14:textId="77777777" w:rsidR="00CB54C8" w:rsidRPr="00F618E9" w:rsidRDefault="00F402A6" w:rsidP="00F618E9">
      <w:pPr>
        <w:spacing w:line="360" w:lineRule="auto"/>
        <w:ind w:firstLine="720"/>
        <w:jc w:val="both"/>
        <w:rPr>
          <w:rFonts w:ascii="Avenir Book" w:hAnsi="Avenir Book"/>
          <w:color w:val="000000"/>
        </w:rPr>
      </w:pPr>
      <w:r w:rsidRPr="00F618E9">
        <w:rPr>
          <w:rFonts w:ascii="Avenir Book" w:hAnsi="Avenir Book"/>
          <w:color w:val="000000"/>
        </w:rPr>
        <w:t>To ensure that attorneys are providing competent representation, a</w:t>
      </w:r>
      <w:r w:rsidR="000F6C1C" w:rsidRPr="00F618E9">
        <w:rPr>
          <w:rFonts w:ascii="Avenir Book" w:hAnsi="Avenir Book"/>
          <w:color w:val="000000"/>
        </w:rPr>
        <w:t xml:space="preserve">ll attorneys in a </w:t>
      </w:r>
      <w:r w:rsidR="003559EF" w:rsidRPr="00F618E9">
        <w:rPr>
          <w:rFonts w:ascii="Avenir Book" w:hAnsi="Avenir Book"/>
          <w:color w:val="000000"/>
        </w:rPr>
        <w:t>public defender office</w:t>
      </w:r>
      <w:r w:rsidR="000F6C1C" w:rsidRPr="00F618E9">
        <w:rPr>
          <w:rFonts w:ascii="Avenir Book" w:hAnsi="Avenir Book"/>
          <w:color w:val="000000"/>
        </w:rPr>
        <w:t xml:space="preserve"> should be supervised and periodically provided a performance evaluation. Supervision and accountability are “essential to the successful functioning” of any job, but may be especially critical to public defenders, as such supervision can inform defense attorneys about whether their job performance meets professional expectations and standards.</w:t>
      </w:r>
      <w:r w:rsidR="000F6C1C" w:rsidRPr="00F618E9">
        <w:rPr>
          <w:rFonts w:ascii="Avenir Book" w:hAnsi="Avenir Book"/>
          <w:color w:val="000000"/>
          <w:vertAlign w:val="superscript"/>
        </w:rPr>
        <w:endnoteReference w:id="298"/>
      </w:r>
      <w:r w:rsidR="000F6C1C" w:rsidRPr="00F618E9">
        <w:rPr>
          <w:rFonts w:ascii="Avenir Book" w:hAnsi="Avenir Book"/>
          <w:color w:val="000000"/>
        </w:rPr>
        <w:t xml:space="preserve"> </w:t>
      </w:r>
    </w:p>
    <w:p w14:paraId="479CE353" w14:textId="77777777" w:rsidR="00CB54C8" w:rsidRPr="00F618E9" w:rsidRDefault="00CB54C8" w:rsidP="00F618E9">
      <w:pPr>
        <w:spacing w:line="360" w:lineRule="auto"/>
        <w:ind w:firstLine="720"/>
        <w:jc w:val="both"/>
        <w:rPr>
          <w:rFonts w:ascii="Avenir Book" w:hAnsi="Avenir Book"/>
        </w:rPr>
      </w:pPr>
      <w:r w:rsidRPr="00F618E9">
        <w:rPr>
          <w:rFonts w:ascii="Avenir Book" w:hAnsi="Avenir Book"/>
          <w:color w:val="000000"/>
        </w:rPr>
        <w:t xml:space="preserve">Under </w:t>
      </w:r>
      <w:r w:rsidRPr="00F618E9">
        <w:rPr>
          <w:rFonts w:ascii="Avenir Book" w:hAnsi="Avenir Book"/>
        </w:rPr>
        <w:t>MPC Rule 5.1, lawyers in managerial or supervisory positions must make “reasonable efforts” to ensure their organization has measures in effect that would reasonably assure that all lawyers in the organization conform to the ethical rules of their jurisdiction.</w:t>
      </w:r>
      <w:r w:rsidRPr="00F618E9">
        <w:rPr>
          <w:rFonts w:ascii="Avenir Book" w:hAnsi="Avenir Book"/>
          <w:vertAlign w:val="superscript"/>
        </w:rPr>
        <w:endnoteReference w:id="299"/>
      </w:r>
      <w:r w:rsidRPr="00F618E9">
        <w:rPr>
          <w:rFonts w:ascii="Avenir Book" w:hAnsi="Avenir Book"/>
        </w:rPr>
        <w:t xml:space="preserve"> A supervising attorney can be held responsible for another lawyer’s ethical violation if the supervisor knows of the conduct “at a time when its consequences can be avoided or mitigated but fails to take reasonable remedial action.”</w:t>
      </w:r>
      <w:r w:rsidRPr="00F618E9">
        <w:rPr>
          <w:rFonts w:ascii="Avenir Book" w:hAnsi="Avenir Book"/>
          <w:vertAlign w:val="superscript"/>
        </w:rPr>
        <w:endnoteReference w:id="300"/>
      </w:r>
      <w:r w:rsidRPr="00F618E9">
        <w:rPr>
          <w:rFonts w:ascii="Avenir Book" w:hAnsi="Avenir Book"/>
        </w:rPr>
        <w:t xml:space="preserve"> Under Rule 5.1, public defense organizations must have some safeguards or systems in place to ensure their attorneys are meeting their ethical obligations under the law.</w:t>
      </w:r>
    </w:p>
    <w:p w14:paraId="68C9BA8C" w14:textId="303BB893" w:rsidR="000F6C1C" w:rsidRPr="00F618E9" w:rsidRDefault="000F6C1C" w:rsidP="00F618E9">
      <w:pPr>
        <w:spacing w:line="360" w:lineRule="auto"/>
        <w:ind w:firstLine="720"/>
        <w:jc w:val="both"/>
        <w:rPr>
          <w:rFonts w:ascii="Avenir Book" w:hAnsi="Avenir Book"/>
          <w:color w:val="000000"/>
        </w:rPr>
      </w:pPr>
      <w:r w:rsidRPr="00F618E9">
        <w:rPr>
          <w:rFonts w:ascii="Avenir Book" w:hAnsi="Avenir Book"/>
          <w:color w:val="000000"/>
        </w:rPr>
        <w:t>Public defender offices may choose to implement a supervision system that allows for the systematic review of the quality and efficiency of their indigent defense providers.</w:t>
      </w:r>
      <w:r w:rsidRPr="00F618E9">
        <w:rPr>
          <w:rFonts w:ascii="Avenir Book" w:hAnsi="Avenir Book"/>
          <w:color w:val="000000"/>
          <w:vertAlign w:val="superscript"/>
        </w:rPr>
        <w:endnoteReference w:id="301"/>
      </w:r>
      <w:r w:rsidRPr="00F618E9">
        <w:rPr>
          <w:rFonts w:ascii="Avenir Book" w:hAnsi="Avenir Book"/>
          <w:color w:val="000000"/>
        </w:rPr>
        <w:t xml:space="preserve"> These reviews should be based on practice standards — provided to all attorneys — that prescribe the basic duties of attorneys at various stages of individual cases.</w:t>
      </w:r>
      <w:r w:rsidRPr="00F618E9">
        <w:rPr>
          <w:rFonts w:ascii="Avenir Book" w:hAnsi="Avenir Book"/>
          <w:color w:val="000000"/>
          <w:vertAlign w:val="superscript"/>
        </w:rPr>
        <w:endnoteReference w:id="302"/>
      </w:r>
      <w:r w:rsidRPr="00F618E9">
        <w:rPr>
          <w:rFonts w:ascii="Avenir Book" w:hAnsi="Avenir Book"/>
          <w:color w:val="000000"/>
        </w:rPr>
        <w:t xml:space="preserve"> </w:t>
      </w:r>
    </w:p>
    <w:p w14:paraId="1CFD1984" w14:textId="77777777" w:rsidR="00CE26C0" w:rsidRPr="00F618E9" w:rsidRDefault="00CE26C0" w:rsidP="00CE26C0">
      <w:pPr>
        <w:spacing w:line="360" w:lineRule="auto"/>
        <w:ind w:firstLine="720"/>
        <w:jc w:val="both"/>
        <w:rPr>
          <w:rFonts w:ascii="Avenir Book" w:hAnsi="Avenir Book"/>
          <w:color w:val="000000"/>
        </w:rPr>
      </w:pPr>
      <w:r w:rsidRPr="00F618E9">
        <w:rPr>
          <w:rFonts w:ascii="Avenir Book" w:hAnsi="Avenir Book"/>
          <w:color w:val="000000"/>
        </w:rPr>
        <w:lastRenderedPageBreak/>
        <w:t>Supervision can also include the continuous monitoring of caseloads.</w:t>
      </w:r>
      <w:r w:rsidRPr="00F618E9">
        <w:rPr>
          <w:rFonts w:ascii="Avenir Book" w:hAnsi="Avenir Book"/>
          <w:color w:val="000000"/>
          <w:vertAlign w:val="superscript"/>
        </w:rPr>
        <w:endnoteReference w:id="303"/>
      </w:r>
      <w:r w:rsidRPr="00F618E9">
        <w:rPr>
          <w:rFonts w:ascii="Avenir Book" w:hAnsi="Avenir Book"/>
          <w:color w:val="000000"/>
        </w:rPr>
        <w:t xml:space="preserve"> It is only through such monitoring that a supervisor can even begin to determine whether an attorney’s workload is appropriate or excessive, allowing them to take any steps necessary to assist that attorney.</w:t>
      </w:r>
      <w:r w:rsidRPr="00F618E9">
        <w:rPr>
          <w:rFonts w:ascii="Avenir Book" w:hAnsi="Avenir Book"/>
          <w:color w:val="000000"/>
          <w:vertAlign w:val="superscript"/>
        </w:rPr>
        <w:endnoteReference w:id="304"/>
      </w:r>
      <w:r w:rsidRPr="00F618E9">
        <w:rPr>
          <w:rFonts w:ascii="Avenir Book" w:hAnsi="Avenir Book"/>
          <w:color w:val="000000"/>
        </w:rPr>
        <w:t xml:space="preserve"> These steps may include transferring non-representational duties to another attorneys, transferring cases to other attorneys, or providing additional resources and support.</w:t>
      </w:r>
      <w:r w:rsidRPr="00F618E9">
        <w:rPr>
          <w:rFonts w:ascii="Avenir Book" w:hAnsi="Avenir Book"/>
          <w:color w:val="000000"/>
          <w:vertAlign w:val="superscript"/>
        </w:rPr>
        <w:endnoteReference w:id="305"/>
      </w:r>
      <w:r w:rsidRPr="00F618E9">
        <w:rPr>
          <w:rFonts w:ascii="Avenir Book" w:hAnsi="Avenir Book"/>
          <w:color w:val="000000"/>
        </w:rPr>
        <w:t xml:space="preserve"> </w:t>
      </w:r>
    </w:p>
    <w:p w14:paraId="1E066D12" w14:textId="4316964E" w:rsidR="000F6C1C" w:rsidRPr="00F618E9" w:rsidRDefault="000F6C1C" w:rsidP="00F618E9">
      <w:pPr>
        <w:spacing w:line="360" w:lineRule="auto"/>
        <w:ind w:firstLine="720"/>
        <w:jc w:val="both"/>
        <w:rPr>
          <w:rFonts w:ascii="Avenir Book" w:hAnsi="Avenir Book"/>
          <w:color w:val="000000"/>
        </w:rPr>
      </w:pPr>
      <w:r w:rsidRPr="00F618E9">
        <w:rPr>
          <w:rFonts w:ascii="Avenir Book" w:hAnsi="Avenir Book"/>
          <w:color w:val="000000"/>
        </w:rPr>
        <w:t>Public defender offices should also have a case management system, or some other method that allows the office to track information about client progress, case dispositions, and time spent during representation.</w:t>
      </w:r>
      <w:r w:rsidRPr="00F618E9">
        <w:rPr>
          <w:rFonts w:ascii="Avenir Book" w:hAnsi="Avenir Book"/>
          <w:color w:val="000000"/>
          <w:vertAlign w:val="superscript"/>
        </w:rPr>
        <w:endnoteReference w:id="306"/>
      </w:r>
      <w:r w:rsidRPr="00F618E9">
        <w:rPr>
          <w:rFonts w:ascii="Avenir Book" w:hAnsi="Avenir Book"/>
          <w:color w:val="000000"/>
        </w:rPr>
        <w:t xml:space="preserve"> Having such a system will facilitate </w:t>
      </w:r>
      <w:r w:rsidR="00CE26C0">
        <w:rPr>
          <w:rFonts w:ascii="Avenir Book" w:hAnsi="Avenir Book"/>
          <w:color w:val="000000"/>
        </w:rPr>
        <w:t xml:space="preserve">supervisors’ and management’s ability to </w:t>
      </w:r>
      <w:r w:rsidRPr="00F618E9">
        <w:rPr>
          <w:rFonts w:ascii="Avenir Book" w:hAnsi="Avenir Book"/>
          <w:color w:val="000000"/>
        </w:rPr>
        <w:t>provid</w:t>
      </w:r>
      <w:r w:rsidR="00CE26C0">
        <w:rPr>
          <w:rFonts w:ascii="Avenir Book" w:hAnsi="Avenir Book"/>
          <w:color w:val="000000"/>
        </w:rPr>
        <w:t>e</w:t>
      </w:r>
      <w:r w:rsidRPr="00F618E9">
        <w:rPr>
          <w:rFonts w:ascii="Avenir Book" w:hAnsi="Avenir Book"/>
          <w:color w:val="000000"/>
        </w:rPr>
        <w:t xml:space="preserve"> regular evaluations of all defense attorneys and support staff.</w:t>
      </w:r>
      <w:r w:rsidRPr="00F618E9">
        <w:rPr>
          <w:rFonts w:ascii="Avenir Book" w:hAnsi="Avenir Book"/>
          <w:color w:val="000000"/>
          <w:vertAlign w:val="superscript"/>
        </w:rPr>
        <w:endnoteReference w:id="307"/>
      </w:r>
      <w:r w:rsidRPr="00F618E9">
        <w:rPr>
          <w:rFonts w:ascii="Avenir Book" w:hAnsi="Avenir Book"/>
          <w:color w:val="000000"/>
        </w:rPr>
        <w:t xml:space="preserve"> </w:t>
      </w:r>
    </w:p>
    <w:p w14:paraId="5E9B7F1F" w14:textId="3D550450" w:rsidR="000F6C1C" w:rsidRPr="00F618E9" w:rsidRDefault="000F6C1C" w:rsidP="00F618E9">
      <w:pPr>
        <w:spacing w:line="360" w:lineRule="auto"/>
        <w:ind w:firstLine="720"/>
        <w:jc w:val="both"/>
        <w:rPr>
          <w:rFonts w:ascii="Avenir Book" w:hAnsi="Avenir Book"/>
          <w:color w:val="000000"/>
        </w:rPr>
      </w:pPr>
      <w:r w:rsidRPr="00F618E9">
        <w:rPr>
          <w:rFonts w:ascii="Avenir Book" w:hAnsi="Avenir Book"/>
          <w:color w:val="000000"/>
        </w:rPr>
        <w:t>Supervisory capacity can be compromised when supervising attorneys have heavy individual caseloads. For example, a defender in a Florida office “noted that, officially, there were two senior attorneys assigned to supervise the approximately 30 misdemeanor attorneys in the office. However, the supervising attorneys had active felony caseloads. If a misdemeanor lawyer wanted assistance, he or she had to seek out a senior attorney and ask for assistance.”</w:t>
      </w:r>
      <w:r w:rsidRPr="00F618E9">
        <w:rPr>
          <w:rFonts w:ascii="Avenir Book" w:hAnsi="Avenir Book"/>
          <w:color w:val="000000"/>
          <w:vertAlign w:val="superscript"/>
        </w:rPr>
        <w:endnoteReference w:id="308"/>
      </w:r>
      <w:r w:rsidRPr="00F618E9">
        <w:rPr>
          <w:rFonts w:ascii="Avenir Book" w:hAnsi="Avenir Book"/>
          <w:color w:val="000000"/>
        </w:rPr>
        <w:t xml:space="preserve"> Similarly, in an office in Montana, a chief public defender  “</w:t>
      </w:r>
      <w:proofErr w:type="spellStart"/>
      <w:r w:rsidRPr="00F618E9">
        <w:rPr>
          <w:rFonts w:ascii="Avenir Book" w:hAnsi="Avenir Book"/>
          <w:color w:val="000000"/>
        </w:rPr>
        <w:t>carrie</w:t>
      </w:r>
      <w:proofErr w:type="spellEnd"/>
      <w:r w:rsidRPr="00F618E9">
        <w:rPr>
          <w:rFonts w:ascii="Avenir Book" w:hAnsi="Avenir Book"/>
          <w:color w:val="000000"/>
        </w:rPr>
        <w:t>[d] the largest case load in her office, which preclude[d] her from providing any meaningful supervision to subordinates.”</w:t>
      </w:r>
      <w:r w:rsidRPr="00F618E9">
        <w:rPr>
          <w:rFonts w:ascii="Avenir Book" w:hAnsi="Avenir Book"/>
          <w:color w:val="000000"/>
          <w:vertAlign w:val="superscript"/>
        </w:rPr>
        <w:endnoteReference w:id="309"/>
      </w:r>
      <w:r w:rsidRPr="00F618E9">
        <w:rPr>
          <w:rFonts w:ascii="Avenir Book" w:hAnsi="Avenir Book"/>
          <w:color w:val="000000"/>
        </w:rPr>
        <w:t xml:space="preserve"> Having a caseload of this size prevented this supervisor from “conducting in-court observations, reviewing case files, discussing theories of the case, directing training, and monitoring the overall work of the lawyers.”</w:t>
      </w:r>
      <w:r w:rsidRPr="00F618E9">
        <w:rPr>
          <w:rFonts w:ascii="Avenir Book" w:hAnsi="Avenir Book"/>
          <w:color w:val="000000"/>
          <w:vertAlign w:val="superscript"/>
        </w:rPr>
        <w:endnoteReference w:id="310"/>
      </w:r>
      <w:r w:rsidRPr="00F618E9">
        <w:rPr>
          <w:rFonts w:ascii="Avenir Book" w:hAnsi="Avenir Book"/>
          <w:color w:val="000000"/>
        </w:rPr>
        <w:t xml:space="preserve"> For this reason, the caseloads of supervising attorneys should be set in a way that recognizes that these attorneys also benefit </w:t>
      </w:r>
      <w:r w:rsidR="00352D52" w:rsidRPr="00F618E9">
        <w:rPr>
          <w:rFonts w:ascii="Avenir Book" w:hAnsi="Avenir Book"/>
          <w:color w:val="000000"/>
        </w:rPr>
        <w:t>their offices by</w:t>
      </w:r>
      <w:r w:rsidRPr="00F618E9">
        <w:rPr>
          <w:rFonts w:ascii="Avenir Book" w:hAnsi="Avenir Book"/>
          <w:color w:val="000000"/>
        </w:rPr>
        <w:t xml:space="preserve"> dedicating ample time to supervisory duties.</w:t>
      </w:r>
    </w:p>
    <w:p w14:paraId="0E68B67C" w14:textId="77777777" w:rsidR="000F6C1C" w:rsidRPr="00F618E9" w:rsidRDefault="000F6C1C" w:rsidP="00F618E9">
      <w:pPr>
        <w:spacing w:line="360" w:lineRule="auto"/>
        <w:ind w:firstLine="720"/>
        <w:jc w:val="both"/>
        <w:rPr>
          <w:rFonts w:ascii="Avenir Book" w:hAnsi="Avenir Book"/>
          <w:color w:val="000000"/>
        </w:rPr>
      </w:pPr>
      <w:r w:rsidRPr="00F618E9">
        <w:rPr>
          <w:rFonts w:ascii="Avenir Book" w:hAnsi="Avenir Book"/>
          <w:color w:val="000000"/>
        </w:rPr>
        <w:t xml:space="preserve">Many of the practices described in this section may be occurring informally in </w:t>
      </w:r>
      <w:r w:rsidR="003559EF" w:rsidRPr="00F618E9">
        <w:rPr>
          <w:rFonts w:ascii="Avenir Book" w:hAnsi="Avenir Book"/>
          <w:color w:val="000000"/>
        </w:rPr>
        <w:t>public defender office</w:t>
      </w:r>
      <w:r w:rsidRPr="00F618E9">
        <w:rPr>
          <w:rFonts w:ascii="Avenir Book" w:hAnsi="Avenir Book"/>
          <w:color w:val="000000"/>
        </w:rPr>
        <w:t xml:space="preserve">rs, even when there are no formal policies of mechanisms guiding </w:t>
      </w:r>
      <w:r w:rsidRPr="00F618E9">
        <w:rPr>
          <w:rFonts w:ascii="Avenir Book" w:hAnsi="Avenir Book"/>
          <w:color w:val="000000"/>
        </w:rPr>
        <w:lastRenderedPageBreak/>
        <w:t>the practice. However, codifying these practices can create an office culture that has a “clear vision</w:t>
      </w:r>
      <w:r w:rsidR="007D7D72" w:rsidRPr="00F618E9">
        <w:rPr>
          <w:rFonts w:ascii="Avenir Book" w:hAnsi="Avenir Book"/>
          <w:color w:val="000000"/>
        </w:rPr>
        <w:t xml:space="preserve">” and a </w:t>
      </w:r>
      <w:r w:rsidRPr="00F618E9">
        <w:rPr>
          <w:rFonts w:ascii="Avenir Book" w:hAnsi="Avenir Book"/>
          <w:color w:val="000000"/>
        </w:rPr>
        <w:t>“shared investment” in improving the office-wide systems with an eye toward ensuring a</w:t>
      </w:r>
      <w:r w:rsidR="007D7D72" w:rsidRPr="00F618E9">
        <w:rPr>
          <w:rFonts w:ascii="Avenir Book" w:hAnsi="Avenir Book"/>
          <w:color w:val="000000"/>
        </w:rPr>
        <w:t xml:space="preserve"> </w:t>
      </w:r>
      <w:r w:rsidRPr="00F618E9">
        <w:rPr>
          <w:rFonts w:ascii="Avenir Book" w:hAnsi="Avenir Book"/>
          <w:color w:val="000000"/>
        </w:rPr>
        <w:t>universally high quality of indigent representation.</w:t>
      </w:r>
      <w:r w:rsidRPr="00F618E9">
        <w:rPr>
          <w:rFonts w:ascii="Avenir Book" w:hAnsi="Avenir Book"/>
          <w:color w:val="000000"/>
          <w:vertAlign w:val="superscript"/>
        </w:rPr>
        <w:endnoteReference w:id="311"/>
      </w:r>
    </w:p>
    <w:p w14:paraId="03DF878D" w14:textId="717F43B9" w:rsidR="008063CA" w:rsidRDefault="00E93519" w:rsidP="00F044EA">
      <w:pPr>
        <w:pStyle w:val="head4"/>
      </w:pPr>
      <w:bookmarkStart w:id="42" w:name="_Toc62730397"/>
      <w:r w:rsidRPr="00BD5328">
        <w:t xml:space="preserve">Structure of </w:t>
      </w:r>
      <w:r w:rsidR="008063CA" w:rsidRPr="00BD5328">
        <w:t>Client Representation</w:t>
      </w:r>
      <w:bookmarkEnd w:id="42"/>
    </w:p>
    <w:p w14:paraId="315FED43" w14:textId="77777777" w:rsidR="004C7B5A" w:rsidRPr="00F044EA" w:rsidRDefault="004C7B5A" w:rsidP="00F044EA">
      <w:pPr>
        <w:spacing w:line="360" w:lineRule="auto"/>
        <w:ind w:firstLine="720"/>
        <w:jc w:val="both"/>
        <w:rPr>
          <w:rFonts w:ascii="Avenir Book" w:hAnsi="Avenir Book"/>
          <w:color w:val="000000"/>
        </w:rPr>
      </w:pPr>
      <w:r w:rsidRPr="00F044EA">
        <w:rPr>
          <w:rFonts w:ascii="Avenir Book" w:hAnsi="Avenir Book"/>
          <w:color w:val="000000"/>
        </w:rPr>
        <w:t>P</w:t>
      </w:r>
      <w:r w:rsidR="008063CA" w:rsidRPr="00F044EA">
        <w:rPr>
          <w:rFonts w:ascii="Avenir Book" w:hAnsi="Avenir Book"/>
          <w:color w:val="000000"/>
        </w:rPr>
        <w:t>ublic defender offices must decide how they will structure the provision of services</w:t>
      </w:r>
      <w:r w:rsidRPr="00F044EA">
        <w:rPr>
          <w:rFonts w:ascii="Avenir Book" w:hAnsi="Avenir Book"/>
          <w:color w:val="000000"/>
        </w:rPr>
        <w:t xml:space="preserve"> to (1) guarantee that indigent defendants have the assistance of </w:t>
      </w:r>
      <w:r w:rsidR="00E93519" w:rsidRPr="00F044EA">
        <w:rPr>
          <w:rFonts w:ascii="Avenir Book" w:hAnsi="Avenir Book"/>
          <w:color w:val="000000"/>
        </w:rPr>
        <w:t>counsel</w:t>
      </w:r>
      <w:r w:rsidRPr="00F044EA">
        <w:rPr>
          <w:rFonts w:ascii="Avenir Book" w:hAnsi="Avenir Book"/>
          <w:color w:val="000000"/>
        </w:rPr>
        <w:t xml:space="preserve"> at all constitutionally-mandates stages of a proceeding, and (2) that public defenders are not being expected to perform tasks for which they do not have adequate training or </w:t>
      </w:r>
      <w:r w:rsidR="00E93519" w:rsidRPr="00F044EA">
        <w:rPr>
          <w:rFonts w:ascii="Avenir Book" w:hAnsi="Avenir Book"/>
          <w:color w:val="000000"/>
        </w:rPr>
        <w:t>experience</w:t>
      </w:r>
      <w:r w:rsidR="008063CA" w:rsidRPr="00F044EA">
        <w:rPr>
          <w:rFonts w:ascii="Avenir Book" w:hAnsi="Avenir Book"/>
          <w:color w:val="000000"/>
        </w:rPr>
        <w:t xml:space="preserve">. </w:t>
      </w:r>
    </w:p>
    <w:p w14:paraId="481DF04B" w14:textId="77777777" w:rsidR="008063CA" w:rsidRPr="00F044EA" w:rsidRDefault="008063CA" w:rsidP="00F044EA">
      <w:pPr>
        <w:spacing w:line="360" w:lineRule="auto"/>
        <w:ind w:firstLine="720"/>
        <w:jc w:val="both"/>
        <w:rPr>
          <w:rFonts w:ascii="Avenir Book" w:hAnsi="Avenir Book"/>
          <w:color w:val="000000"/>
        </w:rPr>
      </w:pPr>
      <w:r w:rsidRPr="00F044EA">
        <w:rPr>
          <w:rFonts w:ascii="Avenir Book" w:hAnsi="Avenir Book"/>
          <w:color w:val="000000"/>
        </w:rPr>
        <w:t xml:space="preserve">An initial </w:t>
      </w:r>
      <w:r w:rsidR="004C7B5A" w:rsidRPr="00F044EA">
        <w:rPr>
          <w:rFonts w:ascii="Avenir Book" w:hAnsi="Avenir Book"/>
          <w:color w:val="000000"/>
        </w:rPr>
        <w:t>issue</w:t>
      </w:r>
      <w:r w:rsidRPr="00F044EA">
        <w:rPr>
          <w:rFonts w:ascii="Avenir Book" w:hAnsi="Avenir Book"/>
          <w:color w:val="000000"/>
        </w:rPr>
        <w:t xml:space="preserve"> </w:t>
      </w:r>
      <w:r w:rsidR="004C7B5A" w:rsidRPr="00F044EA">
        <w:rPr>
          <w:rFonts w:ascii="Avenir Book" w:hAnsi="Avenir Book"/>
          <w:color w:val="000000"/>
        </w:rPr>
        <w:t xml:space="preserve">an office must determine is </w:t>
      </w:r>
      <w:r w:rsidRPr="00F044EA">
        <w:rPr>
          <w:rFonts w:ascii="Avenir Book" w:hAnsi="Avenir Book"/>
          <w:color w:val="000000"/>
        </w:rPr>
        <w:t>whether a particular assigned attorney will represent a client at only a certain stage of proceedings, or whether the same attorneys will represent their clients from pre-trial through appeal.</w:t>
      </w:r>
      <w:r w:rsidRPr="00F044EA">
        <w:rPr>
          <w:rFonts w:ascii="Avenir Book" w:hAnsi="Avenir Book"/>
          <w:color w:val="000000"/>
          <w:vertAlign w:val="superscript"/>
        </w:rPr>
        <w:endnoteReference w:id="312"/>
      </w:r>
      <w:r w:rsidRPr="00F044EA">
        <w:rPr>
          <w:rFonts w:ascii="Avenir Book" w:hAnsi="Avenir Book"/>
          <w:color w:val="000000"/>
        </w:rPr>
        <w:t xml:space="preserve"> The first approach, called </w:t>
      </w:r>
      <w:r w:rsidRPr="00F044EA">
        <w:rPr>
          <w:rFonts w:ascii="Avenir Book" w:hAnsi="Avenir Book"/>
          <w:i/>
          <w:color w:val="000000"/>
        </w:rPr>
        <w:t>horizontal representation</w:t>
      </w:r>
      <w:r w:rsidRPr="00F044EA">
        <w:rPr>
          <w:rFonts w:ascii="Avenir Book" w:hAnsi="Avenir Book"/>
          <w:color w:val="000000"/>
        </w:rPr>
        <w:t>, can save time and money for an indigent defense provider, but may come at the cost of establishing deeper attorney-client relationships.</w:t>
      </w:r>
      <w:r w:rsidRPr="00F044EA">
        <w:rPr>
          <w:rFonts w:ascii="Avenir Book" w:hAnsi="Avenir Book"/>
          <w:color w:val="000000"/>
          <w:vertAlign w:val="superscript"/>
        </w:rPr>
        <w:endnoteReference w:id="313"/>
      </w:r>
      <w:r w:rsidRPr="00F044EA">
        <w:rPr>
          <w:rFonts w:ascii="Avenir Book" w:hAnsi="Avenir Book"/>
          <w:color w:val="000000"/>
        </w:rPr>
        <w:t xml:space="preserve"> A relatively extreme example of horizontal representation could once be seen in Riverside, California, where, “at a minimum, [a] client received representation from three different lawyers, and if a lawyer were to be added at the first arraignment, there would be four lawyers,” involved at the trial level.</w:t>
      </w:r>
      <w:r w:rsidRPr="00F044EA">
        <w:rPr>
          <w:rFonts w:ascii="Avenir Book" w:hAnsi="Avenir Book"/>
          <w:color w:val="000000"/>
          <w:vertAlign w:val="superscript"/>
        </w:rPr>
        <w:endnoteReference w:id="314"/>
      </w:r>
      <w:r w:rsidRPr="00F044EA">
        <w:rPr>
          <w:rFonts w:ascii="Avenir Book" w:hAnsi="Avenir Book"/>
          <w:color w:val="000000"/>
        </w:rPr>
        <w:t xml:space="preserve"> After an organizational audit, the county changed this practice to create more continuity in the </w:t>
      </w:r>
      <w:r w:rsidRPr="00F044EA">
        <w:rPr>
          <w:rFonts w:ascii="Avenir Book" w:hAnsi="Avenir Book"/>
        </w:rPr>
        <w:t>relationships</w:t>
      </w:r>
      <w:r w:rsidRPr="00F044EA">
        <w:rPr>
          <w:rFonts w:ascii="Avenir Book" w:hAnsi="Avenir Book"/>
          <w:color w:val="000000"/>
        </w:rPr>
        <w:t xml:space="preserve"> between lawyer and client.</w:t>
      </w:r>
      <w:r w:rsidRPr="00F044EA">
        <w:rPr>
          <w:rFonts w:ascii="Avenir Book" w:hAnsi="Avenir Book"/>
          <w:color w:val="000000"/>
          <w:vertAlign w:val="superscript"/>
        </w:rPr>
        <w:t xml:space="preserve"> </w:t>
      </w:r>
      <w:r w:rsidRPr="00F044EA">
        <w:rPr>
          <w:rFonts w:ascii="Avenir Book" w:hAnsi="Avenir Book"/>
          <w:color w:val="000000"/>
          <w:vertAlign w:val="superscript"/>
        </w:rPr>
        <w:endnoteReference w:id="315"/>
      </w:r>
      <w:r w:rsidRPr="00F044EA">
        <w:rPr>
          <w:rFonts w:ascii="Avenir Book" w:hAnsi="Avenir Book"/>
          <w:color w:val="000000"/>
        </w:rPr>
        <w:t xml:space="preserve"> </w:t>
      </w:r>
    </w:p>
    <w:p w14:paraId="3F9835A1" w14:textId="77777777" w:rsidR="008063CA" w:rsidRPr="00F044EA" w:rsidRDefault="008063CA" w:rsidP="00F044EA">
      <w:pPr>
        <w:spacing w:line="360" w:lineRule="auto"/>
        <w:ind w:firstLine="720"/>
        <w:jc w:val="both"/>
        <w:rPr>
          <w:rFonts w:ascii="Avenir Book" w:hAnsi="Avenir Book"/>
          <w:color w:val="000000"/>
        </w:rPr>
      </w:pPr>
      <w:r w:rsidRPr="00F044EA">
        <w:rPr>
          <w:rFonts w:ascii="Avenir Book" w:hAnsi="Avenir Book"/>
          <w:color w:val="000000"/>
        </w:rPr>
        <w:t xml:space="preserve">The second approach, called </w:t>
      </w:r>
      <w:r w:rsidRPr="00F044EA">
        <w:rPr>
          <w:rFonts w:ascii="Avenir Book" w:hAnsi="Avenir Book"/>
          <w:i/>
          <w:color w:val="000000"/>
        </w:rPr>
        <w:t>vertical representation</w:t>
      </w:r>
      <w:r w:rsidRPr="00F044EA">
        <w:rPr>
          <w:rFonts w:ascii="Avenir Book" w:hAnsi="Avenir Book"/>
          <w:color w:val="000000"/>
        </w:rPr>
        <w:t>, may allow defenders to develop more client-centered advocacy by building trust and open communication between attorneys and clients. A 2007 report by the Bureau of Justice Statistics found that “nearly three-quarters of reporting state public defender programs had a written policy encouraging vertical representation.”</w:t>
      </w:r>
      <w:r w:rsidRPr="00F044EA">
        <w:rPr>
          <w:rFonts w:ascii="Avenir Book" w:hAnsi="Avenir Book"/>
          <w:vertAlign w:val="superscript"/>
        </w:rPr>
        <w:endnoteReference w:id="316"/>
      </w:r>
      <w:r w:rsidRPr="00F044EA">
        <w:rPr>
          <w:rFonts w:ascii="Avenir Book" w:hAnsi="Avenir Book"/>
          <w:color w:val="000000"/>
        </w:rPr>
        <w:t xml:space="preserve">  Because vertical representation can help </w:t>
      </w:r>
      <w:r w:rsidRPr="00F044EA">
        <w:rPr>
          <w:rFonts w:ascii="Avenir Book" w:hAnsi="Avenir Book"/>
          <w:color w:val="000000"/>
        </w:rPr>
        <w:lastRenderedPageBreak/>
        <w:t>prevent serious errors and ineffective representation,</w:t>
      </w:r>
      <w:r w:rsidRPr="00F044EA">
        <w:rPr>
          <w:rFonts w:ascii="Avenir Book" w:hAnsi="Avenir Book"/>
          <w:color w:val="000000"/>
          <w:vertAlign w:val="superscript"/>
        </w:rPr>
        <w:endnoteReference w:id="317"/>
      </w:r>
      <w:r w:rsidRPr="00F044EA">
        <w:rPr>
          <w:rFonts w:ascii="Avenir Book" w:hAnsi="Avenir Book"/>
          <w:color w:val="000000"/>
        </w:rPr>
        <w:t xml:space="preserve"> that is the structure recommended by the ABA.</w:t>
      </w:r>
      <w:r w:rsidRPr="00F044EA">
        <w:rPr>
          <w:rFonts w:ascii="Avenir Book" w:hAnsi="Avenir Book"/>
          <w:color w:val="000000"/>
          <w:vertAlign w:val="superscript"/>
        </w:rPr>
        <w:endnoteReference w:id="318"/>
      </w:r>
    </w:p>
    <w:p w14:paraId="4D4E26CC" w14:textId="77777777" w:rsidR="008063CA" w:rsidRPr="00F044EA" w:rsidRDefault="008063CA" w:rsidP="00F044EA">
      <w:pPr>
        <w:spacing w:line="360" w:lineRule="auto"/>
        <w:ind w:firstLine="720"/>
        <w:jc w:val="both"/>
        <w:rPr>
          <w:rFonts w:ascii="Avenir Book" w:hAnsi="Avenir Book"/>
          <w:color w:val="000000"/>
          <w:vertAlign w:val="superscript"/>
        </w:rPr>
      </w:pPr>
      <w:r w:rsidRPr="00F044EA">
        <w:rPr>
          <w:rFonts w:ascii="Avenir Book" w:hAnsi="Avenir Book"/>
          <w:color w:val="000000"/>
        </w:rPr>
        <w:t>The following table illustrates representation practices by state, as of 2007</w:t>
      </w:r>
      <w:r w:rsidRPr="00F044EA">
        <w:rPr>
          <w:rFonts w:ascii="Avenir Book" w:hAnsi="Avenir Book"/>
          <w:color w:val="000000"/>
          <w:vertAlign w:val="superscript"/>
        </w:rPr>
        <w:endnoteReference w:id="319"/>
      </w:r>
      <w:r w:rsidRPr="00F044EA">
        <w:rPr>
          <w:rFonts w:ascii="Avenir Book" w:hAnsi="Avenir Book"/>
          <w:color w:val="000000"/>
        </w:rPr>
        <w:t>:</w:t>
      </w:r>
    </w:p>
    <w:p w14:paraId="4A333A9F" w14:textId="310E350F" w:rsidR="008063CA" w:rsidRDefault="000E2E79" w:rsidP="008063CA">
      <w:pPr>
        <w:spacing w:line="480" w:lineRule="auto"/>
        <w:jc w:val="both"/>
        <w:rPr>
          <w:color w:val="000000"/>
        </w:rPr>
      </w:pPr>
      <w:r>
        <w:rPr>
          <w:noProof/>
          <w:sz w:val="10"/>
          <w:szCs w:val="10"/>
        </w:rPr>
        <w:pict w14:anchorId="0FDD0C4D">
          <v:rect id="_x0000_i1036" alt="" style="width:468pt;height:.05pt;mso-width-percent:0;mso-height-percent:0;mso-width-percent:0;mso-height-percent:0" o:hralign="center" o:hrstd="t" o:hr="t" fillcolor="#a0a0a0" stroked="f"/>
        </w:pict>
      </w:r>
    </w:p>
    <w:p w14:paraId="2A5CCFC9" w14:textId="77777777" w:rsidR="008063CA" w:rsidRDefault="008063CA" w:rsidP="008063CA">
      <w:pPr>
        <w:spacing w:line="480" w:lineRule="auto"/>
        <w:jc w:val="both"/>
        <w:rPr>
          <w:color w:val="000000"/>
        </w:rPr>
      </w:pPr>
      <w:r>
        <w:rPr>
          <w:noProof/>
          <w:color w:val="000000"/>
        </w:rPr>
        <w:drawing>
          <wp:inline distT="114300" distB="114300" distL="114300" distR="114300" wp14:anchorId="51BB0154" wp14:editId="522BDC34">
            <wp:extent cx="5943600" cy="3479800"/>
            <wp:effectExtent l="38100" t="38100" r="38100" b="381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943600" cy="3479800"/>
                    </a:xfrm>
                    <a:prstGeom prst="rect">
                      <a:avLst/>
                    </a:prstGeom>
                    <a:ln w="38100">
                      <a:solidFill>
                        <a:srgbClr val="91211B"/>
                      </a:solidFill>
                    </a:ln>
                  </pic:spPr>
                </pic:pic>
              </a:graphicData>
            </a:graphic>
          </wp:inline>
        </w:drawing>
      </w:r>
    </w:p>
    <w:p w14:paraId="3157B5E3" w14:textId="77777777" w:rsidR="00F044EA" w:rsidRDefault="000E2E79" w:rsidP="000E72CE">
      <w:pPr>
        <w:spacing w:line="480" w:lineRule="auto"/>
        <w:jc w:val="both"/>
        <w:rPr>
          <w:color w:val="000000"/>
        </w:rPr>
      </w:pPr>
      <w:r>
        <w:rPr>
          <w:noProof/>
          <w:sz w:val="10"/>
          <w:szCs w:val="10"/>
        </w:rPr>
        <w:pict w14:anchorId="1B4AEC45">
          <v:rect id="_x0000_i1035" alt="" style="width:468pt;height:.05pt;mso-width-percent:0;mso-height-percent:0;mso-width-percent:0;mso-height-percent:0" o:hralign="center" o:hrstd="t" o:hr="t" fillcolor="#a0a0a0" stroked="f"/>
        </w:pict>
      </w:r>
    </w:p>
    <w:p w14:paraId="459C2CAF" w14:textId="08048B11" w:rsidR="008063CA" w:rsidRPr="00F044EA" w:rsidRDefault="008063CA" w:rsidP="00F044EA">
      <w:pPr>
        <w:spacing w:line="360" w:lineRule="auto"/>
        <w:ind w:firstLine="720"/>
        <w:jc w:val="both"/>
        <w:rPr>
          <w:rFonts w:ascii="Avenir Book" w:hAnsi="Avenir Book"/>
          <w:color w:val="000000"/>
        </w:rPr>
      </w:pPr>
      <w:r w:rsidRPr="00F044EA">
        <w:rPr>
          <w:rFonts w:ascii="Avenir Book" w:hAnsi="Avenir Book"/>
          <w:color w:val="000000"/>
        </w:rPr>
        <w:t xml:space="preserve">In addition to the approach to representation chosen by an office, public defender organizations also have to decide how to prioritize cases and matters. Every high-volume public defender office should determine how it will instruct attorneys to </w:t>
      </w:r>
      <w:r w:rsidR="00B1011C" w:rsidRPr="00F044EA">
        <w:rPr>
          <w:rFonts w:ascii="Avenir Book" w:hAnsi="Avenir Book"/>
          <w:color w:val="000000"/>
        </w:rPr>
        <w:t>prioritize</w:t>
      </w:r>
      <w:r w:rsidRPr="00F044EA">
        <w:rPr>
          <w:rFonts w:ascii="Avenir Book" w:hAnsi="Avenir Book"/>
          <w:color w:val="000000"/>
        </w:rPr>
        <w:t xml:space="preserve"> matters in their open cases. Some providers may ask defense attorneys to “triage” decisions about which client matters they devote their attention to first, which client matters they give their attention at all, and everything in between.</w:t>
      </w:r>
      <w:r w:rsidRPr="00F044EA">
        <w:rPr>
          <w:rFonts w:ascii="Avenir Book" w:hAnsi="Avenir Book"/>
          <w:color w:val="000000"/>
          <w:vertAlign w:val="superscript"/>
        </w:rPr>
        <w:endnoteReference w:id="320"/>
      </w:r>
      <w:r w:rsidRPr="00F044EA">
        <w:rPr>
          <w:rFonts w:ascii="Avenir Book" w:hAnsi="Avenir Book"/>
          <w:color w:val="000000"/>
        </w:rPr>
        <w:t xml:space="preserve"> </w:t>
      </w:r>
    </w:p>
    <w:p w14:paraId="136B072D" w14:textId="77777777" w:rsidR="008063CA" w:rsidRPr="00F044EA" w:rsidRDefault="008063CA" w:rsidP="00F044EA">
      <w:pPr>
        <w:spacing w:line="360" w:lineRule="auto"/>
        <w:ind w:firstLine="720"/>
        <w:jc w:val="both"/>
        <w:rPr>
          <w:rFonts w:ascii="Avenir Book" w:hAnsi="Avenir Book"/>
          <w:color w:val="000000"/>
        </w:rPr>
      </w:pPr>
      <w:r w:rsidRPr="00F044EA">
        <w:rPr>
          <w:rFonts w:ascii="Avenir Book" w:hAnsi="Avenir Book"/>
          <w:color w:val="000000"/>
        </w:rPr>
        <w:t>Resource-rationing guidelines for indigent defense services categorize these triage decisions into three forms.</w:t>
      </w:r>
      <w:r w:rsidRPr="00F044EA">
        <w:rPr>
          <w:rFonts w:ascii="Avenir Book" w:hAnsi="Avenir Book"/>
          <w:color w:val="000000"/>
          <w:vertAlign w:val="superscript"/>
        </w:rPr>
        <w:endnoteReference w:id="321"/>
      </w:r>
      <w:r w:rsidRPr="00F044EA">
        <w:rPr>
          <w:rFonts w:ascii="Avenir Book" w:hAnsi="Avenir Book"/>
          <w:color w:val="000000"/>
        </w:rPr>
        <w:t xml:space="preserve"> The first form, “messenger representation,” asks defense attorneys to convey plea offers and other legal facts to their indigent defendants without also offering any analysis or counseling beyond that communication.</w:t>
      </w:r>
      <w:r w:rsidRPr="00F044EA">
        <w:rPr>
          <w:rFonts w:ascii="Avenir Book" w:hAnsi="Avenir Book"/>
          <w:color w:val="000000"/>
          <w:vertAlign w:val="superscript"/>
        </w:rPr>
        <w:endnoteReference w:id="322"/>
      </w:r>
      <w:r w:rsidRPr="00F044EA">
        <w:rPr>
          <w:rFonts w:ascii="Avenir Book" w:hAnsi="Avenir Book"/>
          <w:color w:val="000000"/>
        </w:rPr>
        <w:t xml:space="preserve"> The </w:t>
      </w:r>
      <w:r w:rsidRPr="00F044EA">
        <w:rPr>
          <w:rFonts w:ascii="Avenir Book" w:hAnsi="Avenir Book"/>
          <w:color w:val="000000"/>
        </w:rPr>
        <w:lastRenderedPageBreak/>
        <w:t>second form, “pattern representation,” asks defense attorneys to quickly categorize cases “legally, factually, strategically, and predictively” by finding recurring patterns from their training and prior experiences.</w:t>
      </w:r>
      <w:r w:rsidRPr="00F044EA">
        <w:rPr>
          <w:rFonts w:ascii="Avenir Book" w:hAnsi="Avenir Book"/>
          <w:color w:val="000000"/>
          <w:vertAlign w:val="superscript"/>
        </w:rPr>
        <w:endnoteReference w:id="323"/>
      </w:r>
      <w:r w:rsidRPr="00F044EA">
        <w:rPr>
          <w:rFonts w:ascii="Avenir Book" w:hAnsi="Avenir Book"/>
          <w:color w:val="000000"/>
        </w:rPr>
        <w:t xml:space="preserve"> The third form, “focus representation,” encourages defense attorneys to think about “pushing the rules” and “creating deeper narratives” to improve how they advocate for individual clients.</w:t>
      </w:r>
      <w:r w:rsidRPr="00F044EA">
        <w:rPr>
          <w:rFonts w:ascii="Avenir Book" w:hAnsi="Avenir Book"/>
          <w:color w:val="000000"/>
          <w:vertAlign w:val="superscript"/>
        </w:rPr>
        <w:endnoteReference w:id="324"/>
      </w:r>
      <w:r w:rsidRPr="00F044EA">
        <w:rPr>
          <w:rFonts w:ascii="Avenir Book" w:hAnsi="Avenir Book"/>
          <w:color w:val="000000"/>
        </w:rPr>
        <w:t xml:space="preserve"> Regardless of the form of “triage” that an office recommends, it should provide clear guidance to attorneys around those expectations of client representation.</w:t>
      </w:r>
    </w:p>
    <w:p w14:paraId="0BFEF569" w14:textId="77777777" w:rsidR="008063CA" w:rsidRPr="00F044EA" w:rsidRDefault="008063CA" w:rsidP="00F044EA">
      <w:pPr>
        <w:spacing w:line="360" w:lineRule="auto"/>
        <w:ind w:firstLine="720"/>
        <w:jc w:val="both"/>
        <w:rPr>
          <w:rFonts w:ascii="Avenir Book" w:hAnsi="Avenir Book"/>
          <w:color w:val="000000"/>
        </w:rPr>
      </w:pPr>
      <w:r w:rsidRPr="00F044EA">
        <w:rPr>
          <w:rFonts w:ascii="Avenir Book" w:hAnsi="Avenir Book"/>
          <w:color w:val="000000"/>
        </w:rPr>
        <w:t>There are also different basic models for how public defenders can choose to represent clients. The first model – the traditional model – is “lawyer-driven and case-oriented,” with defense attorneys focused principally on removing or reducing the imminent threat of incarceration for their indigent clients.</w:t>
      </w:r>
      <w:r w:rsidRPr="00F044EA">
        <w:rPr>
          <w:rFonts w:ascii="Avenir Book" w:hAnsi="Avenir Book"/>
          <w:color w:val="000000"/>
          <w:vertAlign w:val="superscript"/>
        </w:rPr>
        <w:endnoteReference w:id="325"/>
      </w:r>
      <w:r w:rsidRPr="00F044EA">
        <w:rPr>
          <w:rFonts w:ascii="Avenir Book" w:hAnsi="Avenir Book"/>
          <w:color w:val="000000"/>
        </w:rPr>
        <w:t xml:space="preserve"> This traditional model reflects a widespread reliance on both messenger and pattern client representation. </w:t>
      </w:r>
    </w:p>
    <w:p w14:paraId="4F196920" w14:textId="77777777" w:rsidR="008063CA" w:rsidRPr="00F044EA" w:rsidRDefault="008063CA" w:rsidP="00F044EA">
      <w:pPr>
        <w:spacing w:line="360" w:lineRule="auto"/>
        <w:ind w:firstLine="720"/>
        <w:jc w:val="both"/>
        <w:rPr>
          <w:rFonts w:ascii="Avenir Book" w:hAnsi="Avenir Book"/>
          <w:color w:val="000000"/>
        </w:rPr>
      </w:pPr>
      <w:r w:rsidRPr="00F044EA">
        <w:rPr>
          <w:rFonts w:ascii="Avenir Book" w:hAnsi="Avenir Book"/>
          <w:color w:val="000000"/>
        </w:rPr>
        <w:t>The second model – the holistic model – is “client-focused, interdisciplinary, and community-based,” embracing a system where defense attorneys are given the space to listen to and attempt to address the individual needs of their clients.</w:t>
      </w:r>
      <w:r w:rsidRPr="00F044EA">
        <w:rPr>
          <w:rFonts w:ascii="Avenir Book" w:hAnsi="Avenir Book"/>
          <w:color w:val="000000"/>
          <w:vertAlign w:val="superscript"/>
        </w:rPr>
        <w:endnoteReference w:id="326"/>
      </w:r>
      <w:r w:rsidRPr="00F044EA">
        <w:rPr>
          <w:rFonts w:ascii="Avenir Book" w:hAnsi="Avenir Book"/>
          <w:color w:val="000000"/>
        </w:rPr>
        <w:t xml:space="preserve"> The holistic model embraces the use of focus representation, which helps defense attorneys recognize the client’s authority, ability, and right to decide the direction of their case after they have been advised of all available options for proceeding.</w:t>
      </w:r>
      <w:r w:rsidRPr="00F044EA">
        <w:rPr>
          <w:rFonts w:ascii="Avenir Book" w:hAnsi="Avenir Book"/>
          <w:color w:val="000000"/>
          <w:vertAlign w:val="superscript"/>
        </w:rPr>
        <w:endnoteReference w:id="327"/>
      </w:r>
      <w:r w:rsidRPr="00F044EA">
        <w:rPr>
          <w:rFonts w:ascii="Avenir Book" w:hAnsi="Avenir Book"/>
          <w:color w:val="000000"/>
        </w:rPr>
        <w:t xml:space="preserve"> This type of client-centered representation can also allow defense attorneys to address the impacts of any “underlying criminogenic factors” of a client’s case and ultimately enhance the lives of clients, reduce recidivism rates, and improve public safety.</w:t>
      </w:r>
      <w:r w:rsidRPr="00F044EA">
        <w:rPr>
          <w:rFonts w:ascii="Avenir Book" w:hAnsi="Avenir Book"/>
          <w:color w:val="000000"/>
          <w:vertAlign w:val="superscript"/>
        </w:rPr>
        <w:endnoteReference w:id="328"/>
      </w:r>
      <w:r w:rsidRPr="00F044EA">
        <w:rPr>
          <w:rFonts w:ascii="Avenir Book" w:hAnsi="Avenir Book"/>
          <w:color w:val="000000"/>
        </w:rPr>
        <w:t xml:space="preserve"> </w:t>
      </w:r>
    </w:p>
    <w:p w14:paraId="1CE2E25E" w14:textId="77777777" w:rsidR="008063CA" w:rsidRPr="00F044EA" w:rsidRDefault="008063CA" w:rsidP="00F044EA">
      <w:pPr>
        <w:spacing w:line="360" w:lineRule="auto"/>
        <w:ind w:firstLine="720"/>
        <w:jc w:val="both"/>
        <w:rPr>
          <w:rFonts w:ascii="Avenir Book" w:hAnsi="Avenir Book"/>
          <w:color w:val="000000"/>
        </w:rPr>
      </w:pPr>
      <w:r w:rsidRPr="00F044EA">
        <w:rPr>
          <w:rFonts w:ascii="Avenir Book" w:hAnsi="Avenir Book"/>
        </w:rPr>
        <w:t>T</w:t>
      </w:r>
      <w:r w:rsidRPr="00F044EA">
        <w:rPr>
          <w:rFonts w:ascii="Avenir Book" w:hAnsi="Avenir Book"/>
          <w:color w:val="000000"/>
        </w:rPr>
        <w:t>here are an increasing number of public defender offices that have been able to implement a more holistic approach. One example can be seen in the Knox County Public Defender’s Community Law Office (CLO), located in Knoxville, Tennessee.</w:t>
      </w:r>
      <w:r w:rsidRPr="00F044EA">
        <w:rPr>
          <w:rFonts w:ascii="Avenir Book" w:hAnsi="Avenir Book"/>
          <w:color w:val="000000"/>
          <w:vertAlign w:val="superscript"/>
        </w:rPr>
        <w:endnoteReference w:id="329"/>
      </w:r>
      <w:r w:rsidRPr="00F044EA">
        <w:rPr>
          <w:rFonts w:ascii="Avenir Book" w:hAnsi="Avenir Book"/>
          <w:color w:val="000000"/>
        </w:rPr>
        <w:t xml:space="preserve"> “The office initially operated from 1990 to 2003 under a traditional representation model until the district public defender recognized that the high incidence of recidivism called for a </w:t>
      </w:r>
      <w:r w:rsidRPr="00F044EA">
        <w:rPr>
          <w:rFonts w:ascii="Avenir Book" w:hAnsi="Avenir Book"/>
          <w:color w:val="000000"/>
        </w:rPr>
        <w:lastRenderedPageBreak/>
        <w:t>different approach.”</w:t>
      </w:r>
      <w:r w:rsidRPr="00F044EA">
        <w:rPr>
          <w:rFonts w:ascii="Avenir Book" w:hAnsi="Avenir Book"/>
          <w:color w:val="000000"/>
          <w:vertAlign w:val="superscript"/>
        </w:rPr>
        <w:endnoteReference w:id="330"/>
      </w:r>
      <w:r w:rsidRPr="00F044EA">
        <w:rPr>
          <w:rFonts w:ascii="Avenir Book" w:hAnsi="Avenir Book"/>
          <w:color w:val="000000"/>
        </w:rPr>
        <w:t xml:space="preserve"> The revised mission of the CLO is “to provide holistic, client-centered legal representation to clients, advocate for a fair and just process within the criminal justice system, increase self-sufficiency and integration of clients into the community, and positively affect the quality of life in Knox County.”</w:t>
      </w:r>
      <w:r w:rsidRPr="00F044EA">
        <w:rPr>
          <w:rFonts w:ascii="Avenir Book" w:hAnsi="Avenir Book"/>
          <w:color w:val="000000"/>
          <w:vertAlign w:val="superscript"/>
        </w:rPr>
        <w:endnoteReference w:id="331"/>
      </w:r>
      <w:r w:rsidRPr="00F044EA">
        <w:rPr>
          <w:rFonts w:ascii="Avenir Book" w:hAnsi="Avenir Book"/>
          <w:color w:val="000000"/>
        </w:rPr>
        <w:t xml:space="preserve"> </w:t>
      </w:r>
    </w:p>
    <w:p w14:paraId="4712FFA6" w14:textId="0C0C8E3B" w:rsidR="008063CA" w:rsidRPr="00F044EA" w:rsidRDefault="008063CA" w:rsidP="00F044EA">
      <w:pPr>
        <w:spacing w:line="360" w:lineRule="auto"/>
        <w:ind w:firstLine="720"/>
        <w:jc w:val="both"/>
        <w:rPr>
          <w:rFonts w:ascii="Avenir Book" w:hAnsi="Avenir Book"/>
          <w:color w:val="000000"/>
        </w:rPr>
      </w:pPr>
      <w:r w:rsidRPr="00F044EA">
        <w:rPr>
          <w:rFonts w:ascii="Avenir Book" w:hAnsi="Avenir Book"/>
          <w:color w:val="000000"/>
        </w:rPr>
        <w:t>A very well-known example of holistic representation can be found at the Bronx Defenders in New York.</w:t>
      </w:r>
      <w:r w:rsidRPr="00F044EA">
        <w:rPr>
          <w:rFonts w:ascii="Avenir Book" w:hAnsi="Avenir Book"/>
          <w:color w:val="000000"/>
          <w:vertAlign w:val="superscript"/>
        </w:rPr>
        <w:endnoteReference w:id="332"/>
      </w:r>
      <w:r w:rsidRPr="00F044EA">
        <w:rPr>
          <w:rFonts w:ascii="Avenir Book" w:hAnsi="Avenir Book"/>
          <w:color w:val="000000"/>
        </w:rPr>
        <w:t xml:space="preserve"> “Robin Steinberg, the founder of the Bronx Defenders, defined four pillars of holistic defense: </w:t>
      </w:r>
      <w:r w:rsidR="00CE6AEB">
        <w:rPr>
          <w:rFonts w:ascii="Avenir Book" w:hAnsi="Avenir Book"/>
          <w:color w:val="000000"/>
        </w:rPr>
        <w:t xml:space="preserve">(1) </w:t>
      </w:r>
      <w:r w:rsidRPr="00F044EA">
        <w:rPr>
          <w:rFonts w:ascii="Avenir Book" w:hAnsi="Avenir Book"/>
          <w:color w:val="000000"/>
        </w:rPr>
        <w:t xml:space="preserve">seamless access to legal and nonlegal services that meet client needs; </w:t>
      </w:r>
      <w:r w:rsidR="00CE6AEB">
        <w:rPr>
          <w:rFonts w:ascii="Avenir Book" w:hAnsi="Avenir Book"/>
          <w:color w:val="000000"/>
        </w:rPr>
        <w:t xml:space="preserve">(2) </w:t>
      </w:r>
      <w:r w:rsidRPr="00F044EA">
        <w:rPr>
          <w:rFonts w:ascii="Avenir Book" w:hAnsi="Avenir Book"/>
          <w:color w:val="000000"/>
        </w:rPr>
        <w:t xml:space="preserve">dynamic, interdisciplinary communication; </w:t>
      </w:r>
      <w:r w:rsidR="00CE6AEB">
        <w:rPr>
          <w:rFonts w:ascii="Avenir Book" w:hAnsi="Avenir Book"/>
          <w:color w:val="000000"/>
        </w:rPr>
        <w:t xml:space="preserve">(3) </w:t>
      </w:r>
      <w:r w:rsidRPr="00F044EA">
        <w:rPr>
          <w:rFonts w:ascii="Avenir Book" w:hAnsi="Avenir Book"/>
          <w:color w:val="000000"/>
        </w:rPr>
        <w:t xml:space="preserve">advocates with an interdisciplinary skill set; and </w:t>
      </w:r>
      <w:r w:rsidR="00CE6AEB">
        <w:rPr>
          <w:rFonts w:ascii="Avenir Book" w:hAnsi="Avenir Book"/>
          <w:color w:val="000000"/>
        </w:rPr>
        <w:t>(4)</w:t>
      </w:r>
      <w:r w:rsidRPr="00F044EA">
        <w:rPr>
          <w:rFonts w:ascii="Avenir Book" w:hAnsi="Avenir Book"/>
          <w:color w:val="000000"/>
        </w:rPr>
        <w:t xml:space="preserve"> a robust understanding of, and connection to, the community served.”</w:t>
      </w:r>
      <w:r w:rsidRPr="00F044EA">
        <w:rPr>
          <w:rFonts w:ascii="Avenir Book" w:hAnsi="Avenir Book"/>
          <w:color w:val="000000"/>
          <w:vertAlign w:val="superscript"/>
        </w:rPr>
        <w:endnoteReference w:id="333"/>
      </w:r>
      <w:r w:rsidRPr="00F044EA">
        <w:rPr>
          <w:rFonts w:ascii="Avenir Book" w:hAnsi="Avenir Book"/>
          <w:color w:val="000000"/>
        </w:rPr>
        <w:t xml:space="preserve"> These principles became known to be “foundational principles of the holistic defense model”.</w:t>
      </w:r>
      <w:r w:rsidRPr="00F044EA">
        <w:rPr>
          <w:rFonts w:ascii="Avenir Book" w:hAnsi="Avenir Book"/>
          <w:color w:val="000000"/>
          <w:vertAlign w:val="superscript"/>
        </w:rPr>
        <w:endnoteReference w:id="334"/>
      </w:r>
      <w:r w:rsidRPr="00F044EA">
        <w:rPr>
          <w:rFonts w:ascii="Avenir Book" w:hAnsi="Avenir Book"/>
          <w:color w:val="000000"/>
        </w:rPr>
        <w:t xml:space="preserve"> Not only have holistic approaches proven to be beneficial for clients, but there is also evidence of this model being financially advantageous as well. “Informal evaluations of the Rhode Island Public Defender Office’s Defender Community Advocacy Program (DCAP) also concluded that the program saved taxpayers millions of dollars in prison costs”</w:t>
      </w:r>
      <w:r w:rsidRPr="00F044EA">
        <w:rPr>
          <w:rFonts w:ascii="Avenir Book" w:hAnsi="Avenir Book"/>
          <w:color w:val="000000"/>
          <w:vertAlign w:val="superscript"/>
        </w:rPr>
        <w:endnoteReference w:id="335"/>
      </w:r>
    </w:p>
    <w:p w14:paraId="24F5189C" w14:textId="01933EEB" w:rsidR="00BD2E5D" w:rsidRPr="00CE26C0" w:rsidRDefault="008063CA" w:rsidP="00CE26C0">
      <w:pPr>
        <w:spacing w:line="360" w:lineRule="auto"/>
        <w:ind w:firstLine="720"/>
        <w:jc w:val="both"/>
        <w:rPr>
          <w:rFonts w:ascii="Avenir Book" w:hAnsi="Avenir Book"/>
          <w:color w:val="000000"/>
        </w:rPr>
      </w:pPr>
      <w:r w:rsidRPr="00F044EA">
        <w:rPr>
          <w:rFonts w:ascii="Avenir Book" w:hAnsi="Avenir Book"/>
          <w:color w:val="000000"/>
        </w:rPr>
        <w:t>Regardless of the approach that a public defender office favors, it is important for office management to make expectations clear to all attorneys and paraprofessionals on staff. A consistent and transparent office culture cannot be created until one is clearly articulated.</w:t>
      </w:r>
    </w:p>
    <w:p w14:paraId="33502854" w14:textId="0CE98D79" w:rsidR="008063CA" w:rsidRPr="00F044EA" w:rsidRDefault="008063CA" w:rsidP="00F044EA">
      <w:pPr>
        <w:pStyle w:val="head4"/>
      </w:pPr>
      <w:bookmarkStart w:id="43" w:name="_Toc62730398"/>
      <w:r>
        <w:t>Compliance with National Standards</w:t>
      </w:r>
      <w:bookmarkEnd w:id="43"/>
    </w:p>
    <w:p w14:paraId="2527EF24" w14:textId="13C5C92D" w:rsidR="00194F91" w:rsidRPr="00F044EA" w:rsidRDefault="004432C2" w:rsidP="00F044EA">
      <w:pPr>
        <w:spacing w:line="360" w:lineRule="auto"/>
        <w:ind w:firstLine="720"/>
        <w:jc w:val="both"/>
        <w:rPr>
          <w:rFonts w:ascii="Avenir Book" w:hAnsi="Avenir Book"/>
        </w:rPr>
      </w:pPr>
      <w:r w:rsidRPr="00F044EA">
        <w:rPr>
          <w:rFonts w:ascii="Avenir Book" w:hAnsi="Avenir Book"/>
        </w:rPr>
        <w:t>Adopting and complying</w:t>
      </w:r>
      <w:r w:rsidR="008063CA" w:rsidRPr="00F044EA">
        <w:rPr>
          <w:rFonts w:ascii="Avenir Book" w:hAnsi="Avenir Book"/>
        </w:rPr>
        <w:t xml:space="preserve"> with national s</w:t>
      </w:r>
      <w:r w:rsidR="008A7CEE" w:rsidRPr="00F044EA">
        <w:rPr>
          <w:rFonts w:ascii="Avenir Book" w:hAnsi="Avenir Book"/>
        </w:rPr>
        <w:t xml:space="preserve">tandards for public defense </w:t>
      </w:r>
      <w:r w:rsidR="00B1011C" w:rsidRPr="00F044EA">
        <w:rPr>
          <w:rFonts w:ascii="Avenir Book" w:hAnsi="Avenir Book"/>
        </w:rPr>
        <w:t>is another important component of risk management</w:t>
      </w:r>
      <w:r w:rsidR="008063CA" w:rsidRPr="00F044EA">
        <w:rPr>
          <w:rFonts w:ascii="Avenir Book" w:hAnsi="Avenir Book"/>
        </w:rPr>
        <w:t xml:space="preserve">. </w:t>
      </w:r>
      <w:r w:rsidR="00194F91" w:rsidRPr="00F044EA">
        <w:rPr>
          <w:rFonts w:ascii="Avenir Book" w:hAnsi="Avenir Book"/>
        </w:rPr>
        <w:t>As seen throughout this Report, national public defense standards provide guidance to help shape an “effective, efficient, high quality, ethical, conflict-free” indigent defense system.</w:t>
      </w:r>
      <w:r w:rsidR="00194F91" w:rsidRPr="00F044EA">
        <w:rPr>
          <w:rFonts w:ascii="Avenir Book" w:hAnsi="Avenir Book"/>
          <w:vertAlign w:val="superscript"/>
        </w:rPr>
        <w:endnoteReference w:id="336"/>
      </w:r>
      <w:r w:rsidR="00194F91" w:rsidRPr="00F044EA">
        <w:rPr>
          <w:rFonts w:ascii="Avenir Book" w:hAnsi="Avenir Book"/>
        </w:rPr>
        <w:t xml:space="preserve"> Research has shown that “compliance with nationally recognized standards for the delivery of indigent defense </w:t>
      </w:r>
      <w:r w:rsidR="00194F91" w:rsidRPr="00F044EA">
        <w:rPr>
          <w:rFonts w:ascii="Avenir Book" w:hAnsi="Avenir Book"/>
        </w:rPr>
        <w:lastRenderedPageBreak/>
        <w:t>services” is one of two primary factors that determine the quality of indigent services, along with the “sufficiency of funding.”</w:t>
      </w:r>
      <w:r w:rsidR="00194F91" w:rsidRPr="00F044EA">
        <w:rPr>
          <w:rFonts w:ascii="Avenir Book" w:hAnsi="Avenir Book"/>
          <w:vertAlign w:val="superscript"/>
        </w:rPr>
        <w:endnoteReference w:id="337"/>
      </w:r>
      <w:r w:rsidR="00194F91" w:rsidRPr="00F044EA">
        <w:rPr>
          <w:rFonts w:ascii="Avenir Book" w:hAnsi="Avenir Book"/>
        </w:rPr>
        <w:t xml:space="preserve"> </w:t>
      </w:r>
    </w:p>
    <w:p w14:paraId="080DFCA4" w14:textId="77777777" w:rsidR="00194F91" w:rsidRPr="00F044EA" w:rsidRDefault="00194F91" w:rsidP="00F044EA">
      <w:pPr>
        <w:spacing w:line="360" w:lineRule="auto"/>
        <w:ind w:firstLine="720"/>
        <w:jc w:val="both"/>
        <w:rPr>
          <w:rFonts w:ascii="Avenir Book" w:hAnsi="Avenir Book"/>
        </w:rPr>
      </w:pPr>
      <w:r w:rsidRPr="00F044EA">
        <w:rPr>
          <w:rFonts w:ascii="Avenir Book" w:hAnsi="Avenir Book"/>
        </w:rPr>
        <w:t xml:space="preserve">The ABA’s </w:t>
      </w:r>
      <w:r w:rsidRPr="00F044EA">
        <w:rPr>
          <w:rFonts w:ascii="Avenir Book" w:hAnsi="Avenir Book"/>
          <w:i/>
        </w:rPr>
        <w:t xml:space="preserve">Ten Principles </w:t>
      </w:r>
      <w:r w:rsidRPr="00F044EA">
        <w:rPr>
          <w:rFonts w:ascii="Avenir Book" w:hAnsi="Avenir Book"/>
        </w:rPr>
        <w:t>have been widely accepted throughout the country because they serve as an “excellent blueprint” for fashioning an effective indigent defense system.</w:t>
      </w:r>
      <w:r w:rsidRPr="00F044EA">
        <w:rPr>
          <w:rFonts w:ascii="Avenir Book" w:hAnsi="Avenir Book"/>
          <w:vertAlign w:val="superscript"/>
        </w:rPr>
        <w:endnoteReference w:id="338"/>
      </w:r>
      <w:r w:rsidRPr="00F044EA">
        <w:rPr>
          <w:rFonts w:ascii="Avenir Book" w:hAnsi="Avenir Book"/>
        </w:rPr>
        <w:t xml:space="preserve"> The Supreme Court has considered these principles, along with other ABA standards, to be “guides to determining what is reasonable” for indigent defense providers.</w:t>
      </w:r>
      <w:r w:rsidRPr="00F044EA">
        <w:rPr>
          <w:rFonts w:ascii="Avenir Book" w:hAnsi="Avenir Book"/>
          <w:vertAlign w:val="superscript"/>
        </w:rPr>
        <w:endnoteReference w:id="339"/>
      </w:r>
      <w:r w:rsidRPr="00F044EA">
        <w:rPr>
          <w:rFonts w:ascii="Avenir Book" w:hAnsi="Avenir Book"/>
        </w:rPr>
        <w:t xml:space="preserve"> These Principles are designed to not only guide defense attorneys, but to assist criminal justice policymakers in improving defense services, potentially by adopting their own standards for indigent defense.</w:t>
      </w:r>
      <w:r w:rsidRPr="00F044EA">
        <w:rPr>
          <w:rFonts w:ascii="Avenir Book" w:hAnsi="Avenir Book"/>
          <w:vertAlign w:val="superscript"/>
        </w:rPr>
        <w:endnoteReference w:id="340"/>
      </w:r>
      <w:r w:rsidRPr="00F044EA">
        <w:rPr>
          <w:rFonts w:ascii="Avenir Book" w:hAnsi="Avenir Book"/>
        </w:rPr>
        <w:t xml:space="preserve"> </w:t>
      </w:r>
    </w:p>
    <w:p w14:paraId="1BA1DAC6" w14:textId="77777777" w:rsidR="00194F91" w:rsidRPr="00F044EA" w:rsidRDefault="00194F91" w:rsidP="00F044EA">
      <w:pPr>
        <w:spacing w:line="360" w:lineRule="auto"/>
        <w:ind w:firstLine="720"/>
        <w:jc w:val="both"/>
        <w:rPr>
          <w:rFonts w:ascii="Avenir Book" w:hAnsi="Avenir Book"/>
        </w:rPr>
      </w:pPr>
      <w:r w:rsidRPr="00F044EA">
        <w:rPr>
          <w:rFonts w:ascii="Avenir Book" w:hAnsi="Avenir Book"/>
        </w:rPr>
        <w:t xml:space="preserve">While the ABA’s </w:t>
      </w:r>
      <w:r w:rsidRPr="00F044EA">
        <w:rPr>
          <w:rFonts w:ascii="Avenir Book" w:hAnsi="Avenir Book"/>
          <w:i/>
        </w:rPr>
        <w:t>Ten Principles</w:t>
      </w:r>
      <w:r w:rsidRPr="00F044EA">
        <w:rPr>
          <w:rFonts w:ascii="Avenir Book" w:hAnsi="Avenir Book"/>
        </w:rPr>
        <w:t xml:space="preserve"> are obviously not binding,</w:t>
      </w:r>
      <w:r w:rsidRPr="00F044EA">
        <w:rPr>
          <w:rFonts w:ascii="Avenir Book" w:hAnsi="Avenir Book"/>
          <w:vertAlign w:val="superscript"/>
        </w:rPr>
        <w:endnoteReference w:id="341"/>
      </w:r>
      <w:r w:rsidRPr="00F044EA">
        <w:rPr>
          <w:rFonts w:ascii="Avenir Book" w:hAnsi="Avenir Book"/>
        </w:rPr>
        <w:t xml:space="preserve"> local governments may nonetheless choose to formally adopt them directly as guiding principles for their indigent defense providers or use them as a template for their own local standards.</w:t>
      </w:r>
      <w:r w:rsidRPr="00F044EA">
        <w:rPr>
          <w:rFonts w:ascii="Avenir Book" w:hAnsi="Avenir Book"/>
          <w:vertAlign w:val="superscript"/>
        </w:rPr>
        <w:endnoteReference w:id="342"/>
      </w:r>
      <w:r w:rsidRPr="00F044EA">
        <w:rPr>
          <w:rFonts w:ascii="Avenir Book" w:hAnsi="Avenir Book"/>
        </w:rPr>
        <w:t xml:space="preserve"> For example, New York’s Indigent Defense Organization Oversight Committee adopted general requirements for all member defense providers.</w:t>
      </w:r>
      <w:r w:rsidRPr="00F044EA">
        <w:rPr>
          <w:rFonts w:ascii="Avenir Book" w:hAnsi="Avenir Book"/>
          <w:vertAlign w:val="superscript"/>
        </w:rPr>
        <w:endnoteReference w:id="343"/>
      </w:r>
      <w:r w:rsidRPr="00F044EA">
        <w:rPr>
          <w:rFonts w:ascii="Avenir Book" w:hAnsi="Avenir Book"/>
        </w:rPr>
        <w:t xml:space="preserve"> “The principle underlying the drafting of these ‘General Requirements’ is that defense organizations must provide quality representation to indigent criminal defendants.”</w:t>
      </w:r>
      <w:r w:rsidRPr="00F044EA">
        <w:rPr>
          <w:rFonts w:ascii="Avenir Book" w:hAnsi="Avenir Book"/>
          <w:vertAlign w:val="superscript"/>
        </w:rPr>
        <w:endnoteReference w:id="344"/>
      </w:r>
      <w:r w:rsidRPr="00F044EA">
        <w:rPr>
          <w:rFonts w:ascii="Avenir Book" w:hAnsi="Avenir Book"/>
        </w:rPr>
        <w:t xml:space="preserve"> In order to determine the standards for quality representation, the committee looked to “the American Bar Association (ABA) and the National Legal Aid and Defender Association (NLADA), and similar specific guidelines adopted in other jurisdictions”</w:t>
      </w:r>
      <w:r w:rsidRPr="00F044EA">
        <w:rPr>
          <w:rFonts w:ascii="Avenir Book" w:hAnsi="Avenir Book"/>
          <w:vertAlign w:val="superscript"/>
        </w:rPr>
        <w:endnoteReference w:id="345"/>
      </w:r>
    </w:p>
    <w:p w14:paraId="2B52A470" w14:textId="77777777" w:rsidR="00194F91" w:rsidRPr="00F044EA" w:rsidRDefault="00194F91" w:rsidP="00F044EA">
      <w:pPr>
        <w:spacing w:line="360" w:lineRule="auto"/>
        <w:ind w:firstLine="720"/>
        <w:jc w:val="both"/>
        <w:rPr>
          <w:rFonts w:ascii="Avenir Book" w:hAnsi="Avenir Book"/>
        </w:rPr>
      </w:pPr>
      <w:r w:rsidRPr="00F044EA">
        <w:rPr>
          <w:rFonts w:ascii="Avenir Book" w:hAnsi="Avenir Book"/>
        </w:rPr>
        <w:t>States and local governments may choose to incentivize compliance with standards in a variety of ways.</w:t>
      </w:r>
      <w:r w:rsidRPr="00F044EA">
        <w:rPr>
          <w:rFonts w:ascii="Avenir Book" w:hAnsi="Avenir Book"/>
          <w:vertAlign w:val="superscript"/>
        </w:rPr>
        <w:endnoteReference w:id="346"/>
      </w:r>
      <w:r w:rsidRPr="00F044EA">
        <w:rPr>
          <w:rFonts w:ascii="Avenir Book" w:hAnsi="Avenir Book"/>
        </w:rPr>
        <w:t xml:space="preserve"> Standards may be directly linked to funding support, such that compliance results in reimbursement for some or all of the costs of providing indigent defense.</w:t>
      </w:r>
      <w:r w:rsidRPr="00F044EA">
        <w:rPr>
          <w:rFonts w:ascii="Avenir Book" w:hAnsi="Avenir Book"/>
          <w:vertAlign w:val="superscript"/>
        </w:rPr>
        <w:endnoteReference w:id="347"/>
      </w:r>
      <w:r w:rsidRPr="00F044EA">
        <w:rPr>
          <w:rFonts w:ascii="Avenir Book" w:hAnsi="Avenir Book"/>
        </w:rPr>
        <w:t xml:space="preserve"> For example, “Indiana's indigent defense standards are written at the state level, by an independent commission [...]. Counties that choose to comply… are eligible to have a portion of their indigent defense costs reimbursed by the state.”</w:t>
      </w:r>
      <w:r w:rsidRPr="00F044EA">
        <w:rPr>
          <w:rFonts w:ascii="Avenir Book" w:hAnsi="Avenir Book"/>
          <w:vertAlign w:val="superscript"/>
        </w:rPr>
        <w:endnoteReference w:id="348"/>
      </w:r>
      <w:r w:rsidRPr="00F044EA">
        <w:rPr>
          <w:rFonts w:ascii="Avenir Book" w:hAnsi="Avenir Book"/>
        </w:rPr>
        <w:t xml:space="preserve">  </w:t>
      </w:r>
    </w:p>
    <w:p w14:paraId="1C7B339B" w14:textId="77777777" w:rsidR="00194F91" w:rsidRPr="00F044EA" w:rsidRDefault="00194F91" w:rsidP="00F044EA">
      <w:pPr>
        <w:spacing w:line="360" w:lineRule="auto"/>
        <w:ind w:firstLine="720"/>
        <w:jc w:val="both"/>
        <w:rPr>
          <w:rFonts w:ascii="Avenir Book" w:hAnsi="Avenir Book"/>
        </w:rPr>
      </w:pPr>
      <w:r w:rsidRPr="00F044EA">
        <w:rPr>
          <w:rFonts w:ascii="Avenir Book" w:hAnsi="Avenir Book"/>
        </w:rPr>
        <w:lastRenderedPageBreak/>
        <w:t>States can also choose to promulgate statewide public defense standards. In Idaho, the State Public Defense Commission (ISPDC) “is authorized to promulgate standards related to attorney performance, attorney workload, and attorney supervision, among others.”</w:t>
      </w:r>
      <w:r w:rsidRPr="00F044EA">
        <w:rPr>
          <w:rFonts w:ascii="Avenir Book" w:hAnsi="Avenir Book"/>
          <w:vertAlign w:val="superscript"/>
        </w:rPr>
        <w:endnoteReference w:id="349"/>
      </w:r>
      <w:r w:rsidRPr="00F044EA">
        <w:rPr>
          <w:rFonts w:ascii="Avenir Book" w:hAnsi="Avenir Book"/>
        </w:rPr>
        <w:t xml:space="preserve"> All counties in Idaho are required to comply with standards, regardless of whether they receive state financial assistance.</w:t>
      </w:r>
      <w:r w:rsidRPr="00F044EA">
        <w:rPr>
          <w:rFonts w:ascii="Avenir Book" w:hAnsi="Avenir Book"/>
          <w:vertAlign w:val="superscript"/>
        </w:rPr>
        <w:endnoteReference w:id="350"/>
      </w:r>
    </w:p>
    <w:p w14:paraId="3D778FC2" w14:textId="77777777" w:rsidR="00194F91" w:rsidRPr="00F044EA" w:rsidRDefault="00A10C97" w:rsidP="00F044EA">
      <w:pPr>
        <w:spacing w:line="360" w:lineRule="auto"/>
        <w:ind w:firstLine="720"/>
        <w:jc w:val="both"/>
        <w:rPr>
          <w:rFonts w:ascii="Avenir Book" w:hAnsi="Avenir Book"/>
        </w:rPr>
      </w:pPr>
      <w:r w:rsidRPr="00F044EA">
        <w:rPr>
          <w:rFonts w:ascii="Avenir Book" w:hAnsi="Avenir Book"/>
        </w:rPr>
        <w:t>S</w:t>
      </w:r>
      <w:r w:rsidR="00194F91" w:rsidRPr="00F044EA">
        <w:rPr>
          <w:rFonts w:ascii="Avenir Book" w:hAnsi="Avenir Book"/>
        </w:rPr>
        <w:t>tandards can also be incorporated into contracts for indigent defense services, allowing for “more finely and frequently calibrated” control over attorney caseloads.</w:t>
      </w:r>
      <w:r w:rsidR="00194F91" w:rsidRPr="00F044EA">
        <w:rPr>
          <w:rFonts w:ascii="Avenir Book" w:hAnsi="Avenir Book"/>
          <w:vertAlign w:val="superscript"/>
        </w:rPr>
        <w:endnoteReference w:id="351"/>
      </w:r>
      <w:r w:rsidR="00194F91" w:rsidRPr="00F044EA">
        <w:rPr>
          <w:rFonts w:ascii="Avenir Book" w:hAnsi="Avenir Book"/>
        </w:rPr>
        <w:t xml:space="preserve"> An example of this can be seen in Oregon which incorporates standards into its state contracts with local service providers.</w:t>
      </w:r>
      <w:r w:rsidR="00194F91" w:rsidRPr="00F044EA">
        <w:rPr>
          <w:rFonts w:ascii="Avenir Book" w:hAnsi="Avenir Book"/>
          <w:vertAlign w:val="superscript"/>
        </w:rPr>
        <w:endnoteReference w:id="352"/>
      </w:r>
      <w:r w:rsidR="00194F91" w:rsidRPr="00F044EA">
        <w:rPr>
          <w:rFonts w:ascii="Avenir Book" w:hAnsi="Avenir Book"/>
        </w:rPr>
        <w:t xml:space="preserve"> </w:t>
      </w:r>
    </w:p>
    <w:p w14:paraId="7B8BB9D3" w14:textId="08E16649" w:rsidR="00EA3D8B" w:rsidRPr="00F044EA" w:rsidRDefault="00A10C97" w:rsidP="00CE26C0">
      <w:pPr>
        <w:spacing w:line="360" w:lineRule="auto"/>
        <w:ind w:firstLine="720"/>
        <w:jc w:val="both"/>
        <w:rPr>
          <w:rFonts w:ascii="Avenir Book" w:hAnsi="Avenir Book"/>
        </w:rPr>
      </w:pPr>
      <w:r w:rsidRPr="00F044EA">
        <w:rPr>
          <w:rFonts w:ascii="Avenir Book" w:hAnsi="Avenir Book"/>
        </w:rPr>
        <w:t>Finally, state and local governments may use an Oversight Board to promulgate and enforce standards, if one exists in their particular jurisdiction.</w:t>
      </w:r>
      <w:r w:rsidRPr="00F044EA">
        <w:rPr>
          <w:rFonts w:ascii="Avenir Book" w:hAnsi="Avenir Book"/>
          <w:vertAlign w:val="superscript"/>
        </w:rPr>
        <w:endnoteReference w:id="353"/>
      </w:r>
      <w:r w:rsidRPr="00F044EA">
        <w:rPr>
          <w:rFonts w:ascii="Avenir Book" w:hAnsi="Avenir Book"/>
        </w:rPr>
        <w:t xml:space="preserve"> </w:t>
      </w:r>
    </w:p>
    <w:p w14:paraId="2DBB5486" w14:textId="7F89B7F0" w:rsidR="003638EE" w:rsidRPr="003638EE" w:rsidRDefault="003638EE" w:rsidP="00F044EA">
      <w:pPr>
        <w:pStyle w:val="head4"/>
      </w:pPr>
      <w:bookmarkStart w:id="44" w:name="_Toc62730399"/>
      <w:r>
        <w:t>Implementation</w:t>
      </w:r>
      <w:r w:rsidR="00776BF0">
        <w:t xml:space="preserve"> and</w:t>
      </w:r>
      <w:r w:rsidR="00222D3D">
        <w:t xml:space="preserve"> Monitoring</w:t>
      </w:r>
      <w:bookmarkEnd w:id="44"/>
      <w:r w:rsidR="00222D3D">
        <w:t xml:space="preserve"> </w:t>
      </w:r>
    </w:p>
    <w:p w14:paraId="06A662A3" w14:textId="77777777" w:rsidR="003638EE" w:rsidRPr="00F044EA" w:rsidRDefault="002D3977" w:rsidP="00F044EA">
      <w:pPr>
        <w:spacing w:line="360" w:lineRule="auto"/>
        <w:ind w:firstLine="720"/>
        <w:jc w:val="both"/>
        <w:rPr>
          <w:rFonts w:ascii="Avenir Book" w:hAnsi="Avenir Book"/>
        </w:rPr>
      </w:pPr>
      <w:r w:rsidRPr="00F044EA">
        <w:rPr>
          <w:rFonts w:ascii="Avenir Book" w:hAnsi="Avenir Book"/>
        </w:rPr>
        <w:t>Requesting that a public defender office adopt</w:t>
      </w:r>
      <w:r w:rsidR="002C0E03" w:rsidRPr="00F044EA">
        <w:rPr>
          <w:rFonts w:ascii="Avenir Book" w:hAnsi="Avenir Book"/>
        </w:rPr>
        <w:t xml:space="preserve"> internal office policies</w:t>
      </w:r>
      <w:r w:rsidR="003638EE" w:rsidRPr="00F044EA">
        <w:rPr>
          <w:rFonts w:ascii="Avenir Book" w:hAnsi="Avenir Book"/>
        </w:rPr>
        <w:t xml:space="preserve"> cannot </w:t>
      </w:r>
      <w:r w:rsidR="002C0E03" w:rsidRPr="00F044EA">
        <w:rPr>
          <w:rFonts w:ascii="Avenir Book" w:hAnsi="Avenir Book"/>
        </w:rPr>
        <w:t xml:space="preserve">alone </w:t>
      </w:r>
      <w:r w:rsidR="003638EE" w:rsidRPr="00F044EA">
        <w:rPr>
          <w:rFonts w:ascii="Avenir Book" w:hAnsi="Avenir Book"/>
        </w:rPr>
        <w:t xml:space="preserve">shape how public defense systems </w:t>
      </w:r>
      <w:r w:rsidR="003C5E58" w:rsidRPr="00F044EA">
        <w:rPr>
          <w:rFonts w:ascii="Avenir Book" w:hAnsi="Avenir Book"/>
        </w:rPr>
        <w:t>mitigate risk</w:t>
      </w:r>
      <w:r w:rsidR="002C0E03" w:rsidRPr="00F044EA">
        <w:rPr>
          <w:rFonts w:ascii="Avenir Book" w:hAnsi="Avenir Book"/>
        </w:rPr>
        <w:t xml:space="preserve">; instead, </w:t>
      </w:r>
      <w:r w:rsidRPr="00F044EA">
        <w:rPr>
          <w:rFonts w:ascii="Avenir Book" w:hAnsi="Avenir Book"/>
        </w:rPr>
        <w:t>there must be some mechanism established to monitor compliance</w:t>
      </w:r>
      <w:r w:rsidR="003638EE" w:rsidRPr="00F044EA">
        <w:rPr>
          <w:rFonts w:ascii="Avenir Book" w:hAnsi="Avenir Book"/>
        </w:rPr>
        <w:t xml:space="preserve">. There are at least four distinct ways that local governments have attempted to implement </w:t>
      </w:r>
      <w:r w:rsidRPr="00F044EA">
        <w:rPr>
          <w:rFonts w:ascii="Avenir Book" w:hAnsi="Avenir Book"/>
        </w:rPr>
        <w:t>and monitor standards for public defense</w:t>
      </w:r>
      <w:r w:rsidR="003638EE" w:rsidRPr="00F044EA">
        <w:rPr>
          <w:rFonts w:ascii="Avenir Book" w:hAnsi="Avenir Book"/>
        </w:rPr>
        <w:t>:</w:t>
      </w:r>
      <w:r w:rsidR="003638EE" w:rsidRPr="00F044EA">
        <w:rPr>
          <w:rFonts w:ascii="Avenir Book" w:hAnsi="Avenir Book"/>
          <w:vertAlign w:val="superscript"/>
        </w:rPr>
        <w:endnoteReference w:id="354"/>
      </w:r>
      <w:r w:rsidR="003638EE" w:rsidRPr="00F044EA">
        <w:rPr>
          <w:rFonts w:ascii="Avenir Book" w:hAnsi="Avenir Book"/>
        </w:rPr>
        <w:t xml:space="preserve"> </w:t>
      </w:r>
    </w:p>
    <w:p w14:paraId="3822C568" w14:textId="77777777" w:rsidR="003638EE" w:rsidRDefault="003638EE" w:rsidP="003638EE">
      <w:pPr>
        <w:spacing w:line="480" w:lineRule="auto"/>
        <w:ind w:firstLine="720"/>
        <w:jc w:val="both"/>
      </w:pPr>
    </w:p>
    <w:p w14:paraId="28FBF77B" w14:textId="77777777" w:rsidR="003638EE" w:rsidRPr="00CE6AEB" w:rsidRDefault="003638EE" w:rsidP="00CE6AEB">
      <w:pPr>
        <w:numPr>
          <w:ilvl w:val="0"/>
          <w:numId w:val="3"/>
        </w:numPr>
        <w:spacing w:line="360" w:lineRule="auto"/>
        <w:ind w:left="720"/>
        <w:rPr>
          <w:rFonts w:ascii="Avenir Book" w:hAnsi="Avenir Book"/>
        </w:rPr>
      </w:pPr>
      <w:r w:rsidRPr="00CE6AEB">
        <w:rPr>
          <w:rFonts w:ascii="Avenir Black" w:hAnsi="Avenir Black"/>
          <w:color w:val="91211B"/>
          <w:u w:val="single"/>
        </w:rPr>
        <w:t>Voluntary Standards</w:t>
      </w:r>
      <w:r w:rsidRPr="00CE6AEB">
        <w:rPr>
          <w:rFonts w:ascii="Avenir Black" w:hAnsi="Avenir Black"/>
          <w:b/>
          <w:bCs/>
          <w:color w:val="91211B"/>
        </w:rPr>
        <w:t>:</w:t>
      </w:r>
      <w:r w:rsidRPr="00CE6AEB">
        <w:rPr>
          <w:rFonts w:ascii="Avenir Book" w:hAnsi="Avenir Book"/>
          <w:color w:val="91211B"/>
        </w:rPr>
        <w:t xml:space="preserve"> </w:t>
      </w:r>
      <w:r w:rsidRPr="00CE6AEB">
        <w:rPr>
          <w:rFonts w:ascii="Avenir Book" w:hAnsi="Avenir Book"/>
        </w:rPr>
        <w:t>Standards that are purely voluntary depend on the good will of funding and oversight bodies, and are more likely to bring about incremental reforms instead of “broad-scale systemic change.”</w:t>
      </w:r>
      <w:r w:rsidRPr="00CE6AEB">
        <w:rPr>
          <w:rFonts w:ascii="Avenir Book" w:hAnsi="Avenir Book"/>
          <w:vertAlign w:val="superscript"/>
        </w:rPr>
        <w:endnoteReference w:id="355"/>
      </w:r>
      <w:r w:rsidRPr="00CE6AEB">
        <w:rPr>
          <w:rFonts w:ascii="Avenir Book" w:hAnsi="Avenir Book"/>
        </w:rPr>
        <w:t xml:space="preserve"> </w:t>
      </w:r>
    </w:p>
    <w:p w14:paraId="6551F536" w14:textId="77777777" w:rsidR="003638EE" w:rsidRPr="00CE6AEB" w:rsidRDefault="003638EE" w:rsidP="00CE6AEB">
      <w:pPr>
        <w:numPr>
          <w:ilvl w:val="0"/>
          <w:numId w:val="3"/>
        </w:numPr>
        <w:spacing w:line="360" w:lineRule="auto"/>
        <w:ind w:left="720"/>
        <w:rPr>
          <w:rFonts w:ascii="Avenir Book" w:hAnsi="Avenir Book"/>
        </w:rPr>
      </w:pPr>
      <w:r w:rsidRPr="00CE6AEB">
        <w:rPr>
          <w:rFonts w:ascii="Avenir Black" w:hAnsi="Avenir Black"/>
          <w:b/>
          <w:bCs/>
          <w:color w:val="91211B"/>
          <w:u w:val="single"/>
        </w:rPr>
        <w:t>Funding Conditioned Upon Standards Compliance</w:t>
      </w:r>
      <w:r w:rsidRPr="00CE6AEB">
        <w:rPr>
          <w:rFonts w:ascii="Avenir Book" w:hAnsi="Avenir Book"/>
        </w:rPr>
        <w:t>: Some jurisdictions make the degree of their funding support contingent upon compliance with national public defense standards.</w:t>
      </w:r>
      <w:r w:rsidRPr="00CE6AEB">
        <w:rPr>
          <w:rFonts w:ascii="Avenir Book" w:hAnsi="Avenir Book"/>
          <w:vertAlign w:val="superscript"/>
        </w:rPr>
        <w:endnoteReference w:id="356"/>
      </w:r>
    </w:p>
    <w:p w14:paraId="1438F60E" w14:textId="77777777" w:rsidR="003638EE" w:rsidRPr="00CE6AEB" w:rsidRDefault="003638EE" w:rsidP="00CE6AEB">
      <w:pPr>
        <w:numPr>
          <w:ilvl w:val="0"/>
          <w:numId w:val="3"/>
        </w:numPr>
        <w:spacing w:line="360" w:lineRule="auto"/>
        <w:ind w:left="720"/>
        <w:rPr>
          <w:rFonts w:ascii="Avenir Book" w:hAnsi="Avenir Book"/>
        </w:rPr>
      </w:pPr>
      <w:r w:rsidRPr="00CE6AEB">
        <w:rPr>
          <w:rFonts w:ascii="Avenir Black" w:hAnsi="Avenir Black"/>
          <w:color w:val="91211B"/>
          <w:u w:val="single"/>
        </w:rPr>
        <w:lastRenderedPageBreak/>
        <w:t>Statutory Statewide Standards</w:t>
      </w:r>
      <w:r w:rsidRPr="00CE6AEB">
        <w:rPr>
          <w:rFonts w:ascii="Avenir Book" w:hAnsi="Avenir Book"/>
        </w:rPr>
        <w:t>: Statewide public defense systems (as opposed to county funded systems like Pennsylvania) are generally more likely to adopt national standards, and are “</w:t>
      </w:r>
      <w:r w:rsidRPr="00CE6AEB">
        <w:rPr>
          <w:rFonts w:ascii="Avenir Book" w:hAnsi="Avenir Book"/>
          <w:iCs/>
        </w:rPr>
        <w:t>significantly more likely to adopt standards in the areas of independence, training and attorney performance</w:t>
      </w:r>
      <w:r w:rsidRPr="00CE6AEB">
        <w:rPr>
          <w:rFonts w:ascii="Avenir Book" w:hAnsi="Avenir Book"/>
        </w:rPr>
        <w:t>.”</w:t>
      </w:r>
      <w:r w:rsidRPr="00CE6AEB">
        <w:rPr>
          <w:rFonts w:ascii="Avenir Book" w:hAnsi="Avenir Book"/>
          <w:vertAlign w:val="superscript"/>
        </w:rPr>
        <w:endnoteReference w:id="357"/>
      </w:r>
    </w:p>
    <w:p w14:paraId="68443DF7" w14:textId="77777777" w:rsidR="003638EE" w:rsidRPr="00CE6AEB" w:rsidRDefault="003638EE" w:rsidP="00CE6AEB">
      <w:pPr>
        <w:numPr>
          <w:ilvl w:val="0"/>
          <w:numId w:val="3"/>
        </w:numPr>
        <w:spacing w:line="360" w:lineRule="auto"/>
        <w:ind w:left="720"/>
        <w:rPr>
          <w:rFonts w:ascii="Avenir Book" w:hAnsi="Avenir Book"/>
        </w:rPr>
      </w:pPr>
      <w:r w:rsidRPr="00CE6AEB">
        <w:rPr>
          <w:rFonts w:ascii="Avenir Black" w:hAnsi="Avenir Black"/>
          <w:color w:val="91211B"/>
          <w:u w:val="single"/>
        </w:rPr>
        <w:t>Standards as Contract Requirements</w:t>
      </w:r>
      <w:r w:rsidRPr="00CE6AEB">
        <w:rPr>
          <w:rFonts w:ascii="Avenir Book" w:hAnsi="Avenir Book"/>
        </w:rPr>
        <w:t>: Standards are directly incorporated into contracts for public defense services.</w:t>
      </w:r>
      <w:r w:rsidRPr="00CE6AEB">
        <w:rPr>
          <w:rFonts w:ascii="Avenir Book" w:hAnsi="Avenir Book"/>
          <w:vertAlign w:val="superscript"/>
        </w:rPr>
        <w:endnoteReference w:id="358"/>
      </w:r>
      <w:r w:rsidRPr="00CE6AEB">
        <w:rPr>
          <w:rFonts w:ascii="Avenir Book" w:hAnsi="Avenir Book"/>
        </w:rPr>
        <w:t xml:space="preserve"> </w:t>
      </w:r>
    </w:p>
    <w:p w14:paraId="1D0A267E" w14:textId="77777777" w:rsidR="00BD2E5D" w:rsidRDefault="00BD2E5D" w:rsidP="00BD2E5D">
      <w:pPr>
        <w:spacing w:line="480" w:lineRule="auto"/>
        <w:ind w:left="720"/>
      </w:pPr>
    </w:p>
    <w:p w14:paraId="2973699F" w14:textId="77777777" w:rsidR="003C5E58" w:rsidRPr="00B87E7D" w:rsidRDefault="003638EE" w:rsidP="00B87E7D">
      <w:pPr>
        <w:spacing w:line="360" w:lineRule="auto"/>
        <w:ind w:firstLine="720"/>
        <w:jc w:val="both"/>
        <w:rPr>
          <w:rFonts w:ascii="Avenir Book" w:hAnsi="Avenir Book"/>
        </w:rPr>
      </w:pPr>
      <w:r w:rsidRPr="00B87E7D">
        <w:rPr>
          <w:rFonts w:ascii="Avenir Book" w:hAnsi="Avenir Book"/>
        </w:rPr>
        <w:t>The statutory codification of standards produces the “highest degree of accountability and compliance with basic agency-management standards such as workload, performance, training, procedures and service quality.”</w:t>
      </w:r>
      <w:r w:rsidRPr="00B87E7D">
        <w:rPr>
          <w:rFonts w:ascii="Avenir Book" w:hAnsi="Avenir Book"/>
          <w:vertAlign w:val="superscript"/>
        </w:rPr>
        <w:endnoteReference w:id="359"/>
      </w:r>
      <w:r w:rsidRPr="00B87E7D">
        <w:rPr>
          <w:rFonts w:ascii="Avenir Book" w:hAnsi="Avenir Book"/>
        </w:rPr>
        <w:t xml:space="preserve"> The implementation of national standards in public defense systems is also highly dependent on funding </w:t>
      </w:r>
      <w:r w:rsidR="003C5E58" w:rsidRPr="00B87E7D">
        <w:rPr>
          <w:rFonts w:ascii="Avenir Book" w:hAnsi="Avenir Book"/>
        </w:rPr>
        <w:t>structure of the system</w:t>
      </w:r>
      <w:r w:rsidRPr="00B87E7D">
        <w:rPr>
          <w:rFonts w:ascii="Avenir Book" w:hAnsi="Avenir Book"/>
        </w:rPr>
        <w:t>, because “virtually all standards-driven public defense systems are subject to the uncertainties of legislative appropriations.”</w:t>
      </w:r>
      <w:r w:rsidRPr="00B87E7D">
        <w:rPr>
          <w:rFonts w:ascii="Avenir Book" w:hAnsi="Avenir Book"/>
          <w:vertAlign w:val="superscript"/>
        </w:rPr>
        <w:endnoteReference w:id="360"/>
      </w:r>
    </w:p>
    <w:p w14:paraId="4BA7B4EE" w14:textId="77777777" w:rsidR="003C5E58" w:rsidRPr="00B87E7D" w:rsidRDefault="003C5E58" w:rsidP="00B87E7D">
      <w:pPr>
        <w:spacing w:line="360" w:lineRule="auto"/>
        <w:ind w:firstLine="720"/>
        <w:jc w:val="both"/>
        <w:rPr>
          <w:rFonts w:ascii="Avenir Book" w:hAnsi="Avenir Book"/>
          <w:color w:val="000000"/>
        </w:rPr>
      </w:pPr>
      <w:r w:rsidRPr="00B87E7D">
        <w:rPr>
          <w:rFonts w:ascii="Avenir Book" w:hAnsi="Avenir Book"/>
          <w:color w:val="000000"/>
        </w:rPr>
        <w:t>An Oversight Board may also be given the authority to promulgate, oversee, or enforce standards.</w:t>
      </w:r>
      <w:r w:rsidRPr="00B87E7D">
        <w:rPr>
          <w:rFonts w:ascii="Avenir Book" w:hAnsi="Avenir Book"/>
          <w:color w:val="000000"/>
          <w:vertAlign w:val="superscript"/>
        </w:rPr>
        <w:endnoteReference w:id="361"/>
      </w:r>
      <w:r w:rsidRPr="00B87E7D">
        <w:rPr>
          <w:rFonts w:ascii="Avenir Book" w:hAnsi="Avenir Book"/>
          <w:color w:val="000000"/>
        </w:rPr>
        <w:t xml:space="preserve"> Oversight Boards can be granted authority over an</w:t>
      </w:r>
      <w:r w:rsidR="00BD2E5D" w:rsidRPr="00B87E7D">
        <w:rPr>
          <w:rFonts w:ascii="Avenir Book" w:hAnsi="Avenir Book"/>
          <w:color w:val="000000"/>
        </w:rPr>
        <w:t>y</w:t>
      </w:r>
      <w:r w:rsidRPr="00B87E7D">
        <w:rPr>
          <w:rFonts w:ascii="Avenir Book" w:hAnsi="Avenir Book"/>
          <w:color w:val="000000"/>
        </w:rPr>
        <w:t xml:space="preserve"> number of administrative issues related the public defender; for instance, drafting performance standards or mandating the availability of sufficient support services.</w:t>
      </w:r>
      <w:r w:rsidRPr="00B87E7D">
        <w:rPr>
          <w:rFonts w:ascii="Avenir Book" w:hAnsi="Avenir Book"/>
          <w:color w:val="000000"/>
          <w:vertAlign w:val="superscript"/>
        </w:rPr>
        <w:endnoteReference w:id="362"/>
      </w:r>
      <w:r w:rsidRPr="00B87E7D">
        <w:rPr>
          <w:rFonts w:ascii="Avenir Book" w:hAnsi="Avenir Book"/>
          <w:color w:val="000000"/>
        </w:rPr>
        <w:t xml:space="preserve"> An Oversight Board may additionally be empowered to monitor or control the caseloads of public defenders, or to collect data to monitor compliance with any imposed guidelines.</w:t>
      </w:r>
      <w:r w:rsidRPr="00B87E7D">
        <w:rPr>
          <w:rFonts w:ascii="Avenir Book" w:hAnsi="Avenir Book"/>
          <w:color w:val="000000"/>
          <w:vertAlign w:val="superscript"/>
        </w:rPr>
        <w:endnoteReference w:id="363"/>
      </w:r>
      <w:r w:rsidRPr="00B87E7D">
        <w:rPr>
          <w:rFonts w:ascii="Avenir Book" w:hAnsi="Avenir Book"/>
          <w:color w:val="000000"/>
        </w:rPr>
        <w:t xml:space="preserve"> </w:t>
      </w:r>
    </w:p>
    <w:p w14:paraId="7BD4E2D4" w14:textId="77777777" w:rsidR="003C5E58" w:rsidRPr="00B87E7D" w:rsidRDefault="003C5E58" w:rsidP="00B87E7D">
      <w:pPr>
        <w:spacing w:line="360" w:lineRule="auto"/>
        <w:ind w:firstLine="720"/>
        <w:jc w:val="both"/>
        <w:rPr>
          <w:rFonts w:ascii="Avenir Book" w:hAnsi="Avenir Book"/>
          <w:color w:val="000000"/>
        </w:rPr>
      </w:pPr>
      <w:r w:rsidRPr="00B87E7D">
        <w:rPr>
          <w:rFonts w:ascii="Avenir Book" w:hAnsi="Avenir Book"/>
          <w:color w:val="000000"/>
        </w:rPr>
        <w:t>For example, in 2014, Idaho created the Idaho State Public Defense Commission (ISPDC), which it “authorized to promulgate standards related to attorney performance, attorney workload, and attorney supervision, among others.”</w:t>
      </w:r>
      <w:r w:rsidRPr="00B87E7D">
        <w:rPr>
          <w:rFonts w:ascii="Avenir Book" w:hAnsi="Avenir Book"/>
          <w:color w:val="000000"/>
          <w:vertAlign w:val="superscript"/>
        </w:rPr>
        <w:endnoteReference w:id="364"/>
      </w:r>
      <w:r w:rsidRPr="00B87E7D">
        <w:rPr>
          <w:rFonts w:ascii="Avenir Book" w:hAnsi="Avenir Book"/>
          <w:color w:val="000000"/>
        </w:rPr>
        <w:t xml:space="preserve"> In Idaho, all counties are required to comply with these standards, regardless of whether they receive state financial assistance.</w:t>
      </w:r>
      <w:r w:rsidRPr="00B87E7D">
        <w:rPr>
          <w:rFonts w:ascii="Avenir Book" w:hAnsi="Avenir Book"/>
          <w:color w:val="000000"/>
          <w:vertAlign w:val="superscript"/>
        </w:rPr>
        <w:endnoteReference w:id="365"/>
      </w:r>
      <w:r w:rsidRPr="00B87E7D">
        <w:rPr>
          <w:rFonts w:ascii="Avenir Book" w:hAnsi="Avenir Book"/>
          <w:color w:val="000000"/>
        </w:rPr>
        <w:t xml:space="preserve"> The Sixth Amendment Center reports that if a county in Idaho, </w:t>
      </w:r>
    </w:p>
    <w:p w14:paraId="310ECD16" w14:textId="76D97349" w:rsidR="003C5E58" w:rsidRPr="00D267E7" w:rsidRDefault="003C5E58" w:rsidP="003C5E58">
      <w:pPr>
        <w:ind w:left="720" w:right="720"/>
        <w:jc w:val="both"/>
        <w:rPr>
          <w:rFonts w:ascii="Avenir Book Oblique" w:hAnsi="Avenir Book Oblique"/>
          <w:color w:val="000000"/>
        </w:rPr>
      </w:pPr>
      <w:r w:rsidRPr="00D267E7">
        <w:rPr>
          <w:rFonts w:ascii="Avenir Book Oblique" w:hAnsi="Avenir Book Oblique"/>
          <w:color w:val="000000"/>
        </w:rPr>
        <w:t>“wi</w:t>
      </w:r>
      <w:r w:rsidR="00A425C7" w:rsidRPr="00D267E7">
        <w:rPr>
          <w:rFonts w:ascii="Avenir Book Oblique" w:hAnsi="Avenir Book Oblique"/>
          <w:color w:val="000000"/>
        </w:rPr>
        <w:t>l</w:t>
      </w:r>
      <w:r w:rsidRPr="00D267E7">
        <w:rPr>
          <w:rFonts w:ascii="Avenir Book Oblique" w:hAnsi="Avenir Book Oblique"/>
          <w:color w:val="000000"/>
        </w:rPr>
        <w:t xml:space="preserve">lfully and materially” fails to comply with ISPDC standards, and if the ISPDC and county are unable to resolve the issue through mediation, the </w:t>
      </w:r>
      <w:r w:rsidRPr="00D267E7">
        <w:rPr>
          <w:rFonts w:ascii="Avenir Book Oblique" w:hAnsi="Avenir Book Oblique"/>
          <w:color w:val="000000"/>
        </w:rPr>
        <w:lastRenderedPageBreak/>
        <w:t>ISPDC is authorized to step in and remedy the specific deficiencies, including taking over all services, and charge the county for the cost.</w:t>
      </w:r>
      <w:r w:rsidRPr="00D267E7">
        <w:rPr>
          <w:rFonts w:ascii="Avenir Book Oblique" w:hAnsi="Avenir Book Oblique"/>
          <w:color w:val="000000"/>
          <w:vertAlign w:val="superscript"/>
        </w:rPr>
        <w:endnoteReference w:id="366"/>
      </w:r>
    </w:p>
    <w:p w14:paraId="1FDE9864" w14:textId="77777777" w:rsidR="003C5E58" w:rsidRDefault="003C5E58" w:rsidP="003C5E58">
      <w:pPr>
        <w:ind w:left="720" w:right="720"/>
        <w:jc w:val="both"/>
        <w:rPr>
          <w:color w:val="000000"/>
        </w:rPr>
      </w:pPr>
    </w:p>
    <w:p w14:paraId="3988EE2C" w14:textId="77777777" w:rsidR="003C5E58" w:rsidRPr="00B87E7D" w:rsidRDefault="003C5E58" w:rsidP="00EA3D8B">
      <w:pPr>
        <w:spacing w:line="360" w:lineRule="auto"/>
        <w:jc w:val="both"/>
        <w:rPr>
          <w:rFonts w:ascii="Avenir Book" w:hAnsi="Avenir Book"/>
          <w:color w:val="000000"/>
        </w:rPr>
      </w:pPr>
      <w:r w:rsidRPr="00B87E7D">
        <w:rPr>
          <w:rFonts w:ascii="Avenir Book" w:hAnsi="Avenir Book"/>
          <w:color w:val="000000"/>
        </w:rPr>
        <w:t>Texas law also gives its Oversight Board, the Texas Indigent Defense Commission, the power to “develop policies &amp; standards for indigent defense services” and to “develop a plan for counties to report indigent defense information.”</w:t>
      </w:r>
      <w:r w:rsidRPr="00B87E7D">
        <w:rPr>
          <w:rFonts w:ascii="Avenir Book" w:hAnsi="Avenir Book"/>
          <w:color w:val="000000"/>
          <w:vertAlign w:val="superscript"/>
        </w:rPr>
        <w:endnoteReference w:id="367"/>
      </w:r>
    </w:p>
    <w:p w14:paraId="0BF8A49E" w14:textId="77777777" w:rsidR="00B87E7D" w:rsidRDefault="00B87E7D" w:rsidP="00B87E7D">
      <w:pPr>
        <w:pStyle w:val="Head3"/>
      </w:pPr>
      <w:bookmarkStart w:id="45" w:name="_Toc62730400"/>
    </w:p>
    <w:p w14:paraId="2B88CC53" w14:textId="5CCFFCD1" w:rsidR="000F6C1C" w:rsidRDefault="000F6C1C" w:rsidP="00B87E7D">
      <w:pPr>
        <w:pStyle w:val="Head3"/>
      </w:pPr>
      <w:r w:rsidRPr="00BC0992">
        <w:t>The Landscape in Montgomery County</w:t>
      </w:r>
      <w:bookmarkEnd w:id="45"/>
    </w:p>
    <w:p w14:paraId="114E0DC4" w14:textId="23E6ABA4" w:rsidR="000F6C1C" w:rsidRPr="00B87E7D" w:rsidRDefault="005E3ECA" w:rsidP="00B87E7D">
      <w:pPr>
        <w:spacing w:line="360" w:lineRule="auto"/>
        <w:ind w:firstLine="720"/>
        <w:jc w:val="both"/>
        <w:rPr>
          <w:rFonts w:ascii="Avenir Book" w:hAnsi="Avenir Book"/>
        </w:rPr>
      </w:pPr>
      <w:r w:rsidRPr="00B87E7D">
        <w:rPr>
          <w:rFonts w:ascii="Avenir Book" w:hAnsi="Avenir Book"/>
        </w:rPr>
        <w:t xml:space="preserve">In Montgomery County, </w:t>
      </w:r>
      <w:r w:rsidR="000F6C1C" w:rsidRPr="00B87E7D">
        <w:rPr>
          <w:rFonts w:ascii="Avenir Book" w:hAnsi="Avenir Book"/>
        </w:rPr>
        <w:t xml:space="preserve">attorneys are divided into several </w:t>
      </w:r>
      <w:r w:rsidRPr="00B87E7D">
        <w:rPr>
          <w:rFonts w:ascii="Avenir Book" w:hAnsi="Avenir Book"/>
        </w:rPr>
        <w:t>“</w:t>
      </w:r>
      <w:r w:rsidR="000F6C1C" w:rsidRPr="00B87E7D">
        <w:rPr>
          <w:rFonts w:ascii="Avenir Book" w:hAnsi="Avenir Book"/>
        </w:rPr>
        <w:t>trial teams</w:t>
      </w:r>
      <w:r w:rsidRPr="00B87E7D">
        <w:rPr>
          <w:rFonts w:ascii="Avenir Book" w:hAnsi="Avenir Book"/>
        </w:rPr>
        <w:t>” that are</w:t>
      </w:r>
      <w:r w:rsidR="000F6C1C" w:rsidRPr="00B87E7D">
        <w:rPr>
          <w:rFonts w:ascii="Avenir Book" w:hAnsi="Avenir Book"/>
        </w:rPr>
        <w:t xml:space="preserve"> assigned to a particular courtroom.</w:t>
      </w:r>
      <w:r w:rsidR="000F6C1C" w:rsidRPr="00B87E7D">
        <w:rPr>
          <w:rFonts w:ascii="Avenir Book" w:hAnsi="Avenir Book"/>
          <w:vertAlign w:val="superscript"/>
        </w:rPr>
        <w:endnoteReference w:id="368"/>
      </w:r>
      <w:r w:rsidR="000F6C1C" w:rsidRPr="00B87E7D">
        <w:rPr>
          <w:rFonts w:ascii="Avenir Book" w:hAnsi="Avenir Book"/>
        </w:rPr>
        <w:t xml:space="preserve"> Each has a  leader who is responsible for overseeing the team and assigning each team member’s cases as well as maintaining their own caseloads.</w:t>
      </w:r>
      <w:r w:rsidR="000F6C1C" w:rsidRPr="00B87E7D">
        <w:rPr>
          <w:rFonts w:ascii="Avenir Book" w:hAnsi="Avenir Book"/>
          <w:vertAlign w:val="superscript"/>
        </w:rPr>
        <w:endnoteReference w:id="369"/>
      </w:r>
      <w:r w:rsidR="000F6C1C" w:rsidRPr="00B87E7D">
        <w:rPr>
          <w:rFonts w:ascii="Avenir Book" w:hAnsi="Avenir Book"/>
        </w:rPr>
        <w:t xml:space="preserve"> This leaves the team leaders with discretion in assigning cases, and there is no formalized approach to assigning cases to staff attorneys.</w:t>
      </w:r>
      <w:r w:rsidR="000F6C1C" w:rsidRPr="00B87E7D">
        <w:rPr>
          <w:rFonts w:ascii="Avenir Book" w:hAnsi="Avenir Book"/>
          <w:vertAlign w:val="superscript"/>
        </w:rPr>
        <w:endnoteReference w:id="370"/>
      </w:r>
      <w:r w:rsidR="000F6C1C" w:rsidRPr="00B87E7D">
        <w:rPr>
          <w:rFonts w:ascii="Avenir Book" w:hAnsi="Avenir Book"/>
        </w:rPr>
        <w:t xml:space="preserve"> The teams are currently not formed according to different specializations or types of offenses</w:t>
      </w:r>
      <w:r w:rsidRPr="00B87E7D">
        <w:rPr>
          <w:rFonts w:ascii="Avenir Book" w:hAnsi="Avenir Book"/>
        </w:rPr>
        <w:t>, although some individual attorneys in the Office have developed a specialization and so often represent clients in those areas</w:t>
      </w:r>
      <w:r w:rsidR="000F6C1C" w:rsidRPr="00B87E7D">
        <w:rPr>
          <w:rFonts w:ascii="Avenir Book" w:hAnsi="Avenir Book"/>
        </w:rPr>
        <w:t>.</w:t>
      </w:r>
      <w:r w:rsidR="000F6C1C" w:rsidRPr="00B87E7D">
        <w:rPr>
          <w:rFonts w:ascii="Avenir Book" w:hAnsi="Avenir Book"/>
          <w:vertAlign w:val="superscript"/>
        </w:rPr>
        <w:endnoteReference w:id="371"/>
      </w:r>
      <w:r w:rsidR="000F6C1C" w:rsidRPr="00B87E7D">
        <w:rPr>
          <w:rFonts w:ascii="Avenir Book" w:hAnsi="Avenir Book"/>
        </w:rPr>
        <w:t xml:space="preserve"> Finally, the Chief Public Defenders also have their own caseloads.</w:t>
      </w:r>
      <w:r w:rsidR="000F6C1C" w:rsidRPr="00B87E7D">
        <w:rPr>
          <w:rFonts w:ascii="Avenir Book" w:hAnsi="Avenir Book"/>
          <w:vertAlign w:val="superscript"/>
        </w:rPr>
        <w:endnoteReference w:id="372"/>
      </w:r>
    </w:p>
    <w:p w14:paraId="7A72D87D" w14:textId="77777777" w:rsidR="00A47467" w:rsidRPr="00B87E7D" w:rsidRDefault="00A47467" w:rsidP="00B87E7D">
      <w:pPr>
        <w:spacing w:line="360" w:lineRule="auto"/>
        <w:ind w:firstLine="720"/>
        <w:jc w:val="both"/>
        <w:rPr>
          <w:rFonts w:ascii="Avenir Book" w:hAnsi="Avenir Book"/>
        </w:rPr>
      </w:pPr>
      <w:r w:rsidRPr="00B87E7D">
        <w:rPr>
          <w:rFonts w:ascii="Avenir Book" w:hAnsi="Avenir Book"/>
        </w:rPr>
        <w:t xml:space="preserve">Staff attorneys do not receive formal performance reviews, nor do they receive any document outlining performance expectations. While team leaders often meet with their own teams to discuss current cases, there are no set periodic meetings among team leaders or among team leaders and chiefs. </w:t>
      </w:r>
    </w:p>
    <w:p w14:paraId="22E82DC5" w14:textId="77777777" w:rsidR="00AC269D" w:rsidRPr="00B87E7D" w:rsidRDefault="00AC269D" w:rsidP="00B87E7D">
      <w:pPr>
        <w:spacing w:line="360" w:lineRule="auto"/>
        <w:ind w:firstLine="720"/>
        <w:jc w:val="both"/>
        <w:rPr>
          <w:rFonts w:ascii="Avenir Book" w:hAnsi="Avenir Book"/>
        </w:rPr>
      </w:pPr>
      <w:r w:rsidRPr="00B87E7D">
        <w:rPr>
          <w:rFonts w:ascii="Avenir Book" w:hAnsi="Avenir Book"/>
        </w:rPr>
        <w:t>The office does not use a case management system, leaving staff attorneys with the responsibility to create systems to manage their own caseloads. Team leaders periodically review case files with attorneys under their supervision, but there is no automated way for supervising attorneys to “check in” on cases electronically.</w:t>
      </w:r>
    </w:p>
    <w:p w14:paraId="4030A9DF" w14:textId="77777777" w:rsidR="000F6C1C" w:rsidRPr="00B87E7D" w:rsidRDefault="000F6C1C" w:rsidP="00B87E7D">
      <w:pPr>
        <w:spacing w:line="360" w:lineRule="auto"/>
        <w:ind w:firstLine="720"/>
        <w:jc w:val="both"/>
        <w:rPr>
          <w:rFonts w:ascii="Avenir Book" w:hAnsi="Avenir Book"/>
        </w:rPr>
      </w:pPr>
      <w:r w:rsidRPr="00B87E7D">
        <w:rPr>
          <w:rFonts w:ascii="Avenir Book" w:hAnsi="Avenir Book"/>
        </w:rPr>
        <w:t>The employees</w:t>
      </w:r>
      <w:r w:rsidR="005E3ECA" w:rsidRPr="00B87E7D">
        <w:rPr>
          <w:rFonts w:ascii="Avenir Book" w:hAnsi="Avenir Book"/>
        </w:rPr>
        <w:t xml:space="preserve"> we interviewed</w:t>
      </w:r>
      <w:r w:rsidRPr="00B87E7D">
        <w:rPr>
          <w:rFonts w:ascii="Avenir Book" w:hAnsi="Avenir Book"/>
        </w:rPr>
        <w:t xml:space="preserve"> voiced mixed feelings on the topic of adequate training. Some employees felt they had not received any </w:t>
      </w:r>
      <w:r w:rsidR="00E62F3B" w:rsidRPr="00B87E7D">
        <w:rPr>
          <w:rFonts w:ascii="Avenir Book" w:hAnsi="Avenir Book"/>
        </w:rPr>
        <w:t>formal</w:t>
      </w:r>
      <w:r w:rsidRPr="00B87E7D">
        <w:rPr>
          <w:rFonts w:ascii="Avenir Book" w:hAnsi="Avenir Book"/>
        </w:rPr>
        <w:t xml:space="preserve"> onboarding training.</w:t>
      </w:r>
      <w:r w:rsidRPr="00B87E7D">
        <w:rPr>
          <w:rFonts w:ascii="Avenir Book" w:hAnsi="Avenir Book"/>
          <w:vertAlign w:val="superscript"/>
        </w:rPr>
        <w:endnoteReference w:id="373"/>
      </w:r>
      <w:r w:rsidRPr="00B87E7D">
        <w:rPr>
          <w:rFonts w:ascii="Avenir Book" w:hAnsi="Avenir Book"/>
        </w:rPr>
        <w:t xml:space="preserve"> </w:t>
      </w:r>
      <w:r w:rsidRPr="00B87E7D">
        <w:rPr>
          <w:rFonts w:ascii="Avenir Book" w:hAnsi="Avenir Book"/>
        </w:rPr>
        <w:lastRenderedPageBreak/>
        <w:t>Many noted that the offering of training had improved over the years, but others still felt that the ongoing training offered was not sufficient.</w:t>
      </w:r>
      <w:r w:rsidRPr="00B87E7D">
        <w:rPr>
          <w:rFonts w:ascii="Avenir Book" w:hAnsi="Avenir Book"/>
          <w:vertAlign w:val="superscript"/>
        </w:rPr>
        <w:endnoteReference w:id="374"/>
      </w:r>
      <w:r w:rsidRPr="00B87E7D">
        <w:rPr>
          <w:rFonts w:ascii="Avenir Book" w:hAnsi="Avenir Book"/>
        </w:rPr>
        <w:t xml:space="preserve"> It was also expressed that investigators receive very little relevant training to their positions.</w:t>
      </w:r>
      <w:r w:rsidRPr="00B87E7D">
        <w:rPr>
          <w:rFonts w:ascii="Avenir Book" w:hAnsi="Avenir Book"/>
          <w:vertAlign w:val="superscript"/>
        </w:rPr>
        <w:endnoteReference w:id="375"/>
      </w:r>
      <w:r w:rsidRPr="00B87E7D">
        <w:rPr>
          <w:rFonts w:ascii="Avenir Book" w:hAnsi="Avenir Book"/>
        </w:rPr>
        <w:t xml:space="preserve"> Finally, some employees indicated that increased funding is needed to form a more robust training program.</w:t>
      </w:r>
      <w:r w:rsidRPr="00B87E7D">
        <w:rPr>
          <w:rFonts w:ascii="Avenir Book" w:hAnsi="Avenir Book"/>
          <w:vertAlign w:val="superscript"/>
        </w:rPr>
        <w:endnoteReference w:id="376"/>
      </w:r>
    </w:p>
    <w:p w14:paraId="25F1988B" w14:textId="4A1DB8BD" w:rsidR="00A47467" w:rsidRPr="00B87E7D" w:rsidRDefault="00A47467" w:rsidP="00B87E7D">
      <w:pPr>
        <w:spacing w:line="360" w:lineRule="auto"/>
        <w:ind w:firstLine="720"/>
        <w:jc w:val="both"/>
        <w:rPr>
          <w:rFonts w:ascii="Avenir Book" w:hAnsi="Avenir Book"/>
        </w:rPr>
      </w:pPr>
      <w:r w:rsidRPr="00B87E7D">
        <w:rPr>
          <w:rFonts w:ascii="Avenir Book" w:hAnsi="Avenir Book"/>
        </w:rPr>
        <w:t>The Office has very few formalized documents or policies for attorneys. This includes the absence of written policies regarding the prioritizing of cases or matters; the form of representation preferred by the Office; or the Office’s position on attorneys pursuing systemic reforms in addition to performing direct client representation.</w:t>
      </w:r>
      <w:r w:rsidR="00CE26C0">
        <w:rPr>
          <w:rStyle w:val="EndnoteReference"/>
          <w:rFonts w:ascii="Avenir Book" w:hAnsi="Avenir Book"/>
        </w:rPr>
        <w:endnoteReference w:id="377"/>
      </w:r>
    </w:p>
    <w:p w14:paraId="4A6E81FB" w14:textId="6C62DF21" w:rsidR="00CE6AEB" w:rsidRDefault="002F0500" w:rsidP="00CE26C0">
      <w:pPr>
        <w:spacing w:line="360" w:lineRule="auto"/>
        <w:ind w:firstLine="720"/>
        <w:jc w:val="both"/>
        <w:rPr>
          <w:rFonts w:ascii="Avenir Book" w:hAnsi="Avenir Book"/>
        </w:rPr>
      </w:pPr>
      <w:r w:rsidRPr="00B87E7D">
        <w:rPr>
          <w:rFonts w:ascii="Avenir Book" w:hAnsi="Avenir Book"/>
        </w:rPr>
        <w:t>The Pennsylvania Public Defense Act does not codify any minimum standards that county public defender offices are required to meet.</w:t>
      </w:r>
      <w:r w:rsidRPr="00B87E7D">
        <w:rPr>
          <w:rFonts w:ascii="Avenir Book" w:hAnsi="Avenir Book"/>
          <w:vertAlign w:val="superscript"/>
        </w:rPr>
        <w:endnoteReference w:id="378"/>
      </w:r>
      <w:r w:rsidRPr="00B87E7D">
        <w:rPr>
          <w:rFonts w:ascii="Avenir Book" w:hAnsi="Avenir Book"/>
        </w:rPr>
        <w:t xml:space="preserve"> Montgomery County has not yet formally adopted the ABA, NAPD, or other national standards pertaining to public defense.</w:t>
      </w:r>
      <w:r w:rsidRPr="00B87E7D">
        <w:rPr>
          <w:rFonts w:ascii="Avenir Book" w:hAnsi="Avenir Book"/>
          <w:vertAlign w:val="superscript"/>
        </w:rPr>
        <w:endnoteReference w:id="379"/>
      </w:r>
      <w:r w:rsidRPr="00B87E7D">
        <w:rPr>
          <w:rFonts w:ascii="Avenir Book" w:hAnsi="Avenir Book"/>
        </w:rPr>
        <w:t xml:space="preserve"> Moreover, Montgomery County does not have any feedback mechanisms in place to raise an alert to any systemic deficiencies interfering with the quality of defense representation provided.</w:t>
      </w:r>
      <w:r w:rsidRPr="00B87E7D">
        <w:rPr>
          <w:rFonts w:ascii="Avenir Book" w:hAnsi="Avenir Book"/>
          <w:vertAlign w:val="superscript"/>
        </w:rPr>
        <w:endnoteReference w:id="380"/>
      </w:r>
      <w:r w:rsidRPr="00B87E7D">
        <w:rPr>
          <w:rFonts w:ascii="Avenir Book" w:hAnsi="Avenir Book"/>
        </w:rPr>
        <w:t xml:space="preserve"> </w:t>
      </w:r>
      <w:bookmarkStart w:id="46" w:name="_Toc62730401"/>
    </w:p>
    <w:p w14:paraId="2816F651" w14:textId="77777777" w:rsidR="00CE26C0" w:rsidRPr="00CE6AEB" w:rsidRDefault="00CE26C0" w:rsidP="00CE26C0">
      <w:pPr>
        <w:spacing w:line="360" w:lineRule="auto"/>
        <w:ind w:firstLine="720"/>
        <w:jc w:val="both"/>
        <w:rPr>
          <w:rFonts w:ascii="Avenir Book" w:hAnsi="Avenir Book"/>
        </w:rPr>
      </w:pPr>
    </w:p>
    <w:p w14:paraId="7314596F" w14:textId="09CBB5AD" w:rsidR="00FE62FE" w:rsidRDefault="002F0500" w:rsidP="00B87E7D">
      <w:pPr>
        <w:pStyle w:val="Head3"/>
      </w:pPr>
      <w:r>
        <w:t>Conclusion</w:t>
      </w:r>
      <w:bookmarkEnd w:id="46"/>
    </w:p>
    <w:p w14:paraId="6EB7EC6F" w14:textId="5934ADCC" w:rsidR="00882B29" w:rsidRPr="00B87E7D" w:rsidRDefault="00882B29" w:rsidP="00B87E7D">
      <w:pPr>
        <w:spacing w:line="360" w:lineRule="auto"/>
        <w:ind w:firstLine="720"/>
        <w:jc w:val="both"/>
        <w:rPr>
          <w:rFonts w:ascii="Avenir Book" w:hAnsi="Avenir Book"/>
        </w:rPr>
      </w:pPr>
      <w:r w:rsidRPr="00B87E7D">
        <w:rPr>
          <w:rFonts w:ascii="Avenir Book" w:hAnsi="Avenir Book"/>
        </w:rPr>
        <w:t>State and local governments risk being on the receiving end of lawsuits implicating the effectiveness of their indigent defense systems. Respond</w:t>
      </w:r>
      <w:r w:rsidR="00E90375" w:rsidRPr="00B87E7D">
        <w:rPr>
          <w:rFonts w:ascii="Avenir Book" w:hAnsi="Avenir Book"/>
        </w:rPr>
        <w:t>ing</w:t>
      </w:r>
      <w:r w:rsidRPr="00B87E7D">
        <w:rPr>
          <w:rFonts w:ascii="Avenir Book" w:hAnsi="Avenir Book"/>
        </w:rPr>
        <w:t xml:space="preserve"> to these suits requires the government to allocate significant time and financial resources which could otherwise be directed toward other municipal services or functions. </w:t>
      </w:r>
    </w:p>
    <w:p w14:paraId="20F65AEF" w14:textId="2D98C24A" w:rsidR="002F0500" w:rsidRPr="00B87E7D" w:rsidRDefault="00882B29" w:rsidP="00B87E7D">
      <w:pPr>
        <w:spacing w:line="360" w:lineRule="auto"/>
        <w:ind w:firstLine="720"/>
        <w:jc w:val="both"/>
        <w:rPr>
          <w:rFonts w:ascii="Avenir Book" w:hAnsi="Avenir Book"/>
        </w:rPr>
      </w:pPr>
      <w:r w:rsidRPr="00B87E7D">
        <w:rPr>
          <w:rFonts w:ascii="Avenir Book" w:hAnsi="Avenir Book"/>
        </w:rPr>
        <w:t xml:space="preserve">The most </w:t>
      </w:r>
      <w:r w:rsidR="00E90375" w:rsidRPr="00B87E7D">
        <w:rPr>
          <w:rFonts w:ascii="Avenir Book" w:hAnsi="Avenir Book"/>
        </w:rPr>
        <w:t>effective</w:t>
      </w:r>
      <w:r w:rsidRPr="00B87E7D">
        <w:rPr>
          <w:rFonts w:ascii="Avenir Book" w:hAnsi="Avenir Book"/>
        </w:rPr>
        <w:t xml:space="preserve"> way to mitigate the risk of a lawsuit is to put systems in place to </w:t>
      </w:r>
      <w:r w:rsidR="0017614B" w:rsidRPr="00B87E7D">
        <w:rPr>
          <w:rFonts w:ascii="Avenir Book" w:hAnsi="Avenir Book"/>
        </w:rPr>
        <w:t xml:space="preserve">make sure that </w:t>
      </w:r>
      <w:r w:rsidR="0040223F" w:rsidRPr="00B87E7D">
        <w:rPr>
          <w:rFonts w:ascii="Avenir Book" w:hAnsi="Avenir Book"/>
        </w:rPr>
        <w:t>public defender office</w:t>
      </w:r>
      <w:r w:rsidR="0017614B" w:rsidRPr="00B87E7D">
        <w:rPr>
          <w:rFonts w:ascii="Avenir Book" w:hAnsi="Avenir Book"/>
        </w:rPr>
        <w:t>s</w:t>
      </w:r>
      <w:r w:rsidR="0040223F" w:rsidRPr="00B87E7D">
        <w:rPr>
          <w:rFonts w:ascii="Avenir Book" w:hAnsi="Avenir Book"/>
        </w:rPr>
        <w:t xml:space="preserve"> </w:t>
      </w:r>
      <w:r w:rsidR="0017614B" w:rsidRPr="00B87E7D">
        <w:rPr>
          <w:rFonts w:ascii="Avenir Book" w:hAnsi="Avenir Book"/>
        </w:rPr>
        <w:t xml:space="preserve">are implementing </w:t>
      </w:r>
      <w:r w:rsidR="0040223F" w:rsidRPr="00B87E7D">
        <w:rPr>
          <w:rFonts w:ascii="Avenir Book" w:hAnsi="Avenir Book"/>
        </w:rPr>
        <w:t xml:space="preserve">internal policies </w:t>
      </w:r>
      <w:r w:rsidR="0017614B" w:rsidRPr="00B87E7D">
        <w:rPr>
          <w:rFonts w:ascii="Avenir Book" w:hAnsi="Avenir Book"/>
        </w:rPr>
        <w:t xml:space="preserve">that are </w:t>
      </w:r>
      <w:r w:rsidR="0040223F" w:rsidRPr="00B87E7D">
        <w:rPr>
          <w:rFonts w:ascii="Avenir Book" w:hAnsi="Avenir Book"/>
        </w:rPr>
        <w:t xml:space="preserve">in line with </w:t>
      </w:r>
      <w:r w:rsidR="002F0500" w:rsidRPr="00B87E7D">
        <w:rPr>
          <w:rFonts w:ascii="Avenir Book" w:hAnsi="Avenir Book"/>
        </w:rPr>
        <w:t xml:space="preserve">national advisory standards. When </w:t>
      </w:r>
      <w:r w:rsidR="0017614B" w:rsidRPr="00B87E7D">
        <w:rPr>
          <w:rFonts w:ascii="Avenir Book" w:hAnsi="Avenir Book"/>
        </w:rPr>
        <w:t>such policies are instituted and standards</w:t>
      </w:r>
      <w:r w:rsidR="002F0500" w:rsidRPr="00B87E7D">
        <w:rPr>
          <w:rFonts w:ascii="Avenir Book" w:hAnsi="Avenir Book"/>
        </w:rPr>
        <w:t xml:space="preserve"> are adopted, both clients and the community will observe a public defender system that is independent, professional, and well-managed, conveying to them that the </w:t>
      </w:r>
      <w:r w:rsidR="00E90375" w:rsidRPr="00B87E7D">
        <w:rPr>
          <w:rFonts w:ascii="Avenir Book" w:hAnsi="Avenir Book"/>
        </w:rPr>
        <w:t xml:space="preserve">jurisdiction </w:t>
      </w:r>
      <w:r w:rsidR="002F0500" w:rsidRPr="00B87E7D">
        <w:rPr>
          <w:rFonts w:ascii="Avenir Book" w:hAnsi="Avenir Book"/>
        </w:rPr>
        <w:lastRenderedPageBreak/>
        <w:t xml:space="preserve">values the public defense function and instilling increased confidence in the system. </w:t>
      </w:r>
      <w:r w:rsidR="00E90375" w:rsidRPr="00B87E7D">
        <w:rPr>
          <w:rFonts w:ascii="Avenir Book" w:hAnsi="Avenir Book"/>
        </w:rPr>
        <w:t>T</w:t>
      </w:r>
      <w:r w:rsidR="002F0500" w:rsidRPr="00B87E7D">
        <w:rPr>
          <w:rFonts w:ascii="Avenir Book" w:hAnsi="Avenir Book"/>
        </w:rPr>
        <w:t xml:space="preserve">he local government will benefit both by having provided exceptional services to their constituents, but also by having mitigated </w:t>
      </w:r>
      <w:r w:rsidR="00B1011C" w:rsidRPr="00B87E7D">
        <w:rPr>
          <w:rFonts w:ascii="Avenir Book" w:hAnsi="Avenir Book"/>
        </w:rPr>
        <w:t>the risk of legal liability</w:t>
      </w:r>
      <w:r w:rsidR="002F0500" w:rsidRPr="00B87E7D">
        <w:rPr>
          <w:rFonts w:ascii="Avenir Book" w:hAnsi="Avenir Book"/>
        </w:rPr>
        <w:t>.</w:t>
      </w:r>
    </w:p>
    <w:p w14:paraId="6C983C71" w14:textId="11F89614" w:rsidR="00555FC0" w:rsidRDefault="00555FC0" w:rsidP="00555FC0">
      <w:pPr>
        <w:spacing w:line="480" w:lineRule="auto"/>
        <w:jc w:val="both"/>
      </w:pPr>
    </w:p>
    <w:p w14:paraId="507EB6DB" w14:textId="77777777" w:rsidR="00DE4554" w:rsidRDefault="00DE4554" w:rsidP="00DE4554">
      <w:pPr>
        <w:spacing w:line="480" w:lineRule="auto"/>
        <w:jc w:val="both"/>
      </w:pPr>
    </w:p>
    <w:p w14:paraId="71A2B439" w14:textId="0D60AAA2" w:rsidR="00DE4554" w:rsidRDefault="00DE4554" w:rsidP="00DE4554">
      <w:pPr>
        <w:spacing w:line="480" w:lineRule="auto"/>
        <w:jc w:val="both"/>
        <w:sectPr w:rsidR="00DE4554">
          <w:endnotePr>
            <w:numFmt w:val="decimal"/>
          </w:endnotePr>
          <w:pgSz w:w="12240" w:h="15840"/>
          <w:pgMar w:top="1440" w:right="1440" w:bottom="1440" w:left="1440" w:header="720" w:footer="720" w:gutter="0"/>
          <w:cols w:space="720"/>
        </w:sectPr>
      </w:pPr>
    </w:p>
    <w:p w14:paraId="6A58F1FB" w14:textId="750B321D" w:rsidR="00F044EA" w:rsidRPr="00F044EA" w:rsidRDefault="000E2E79" w:rsidP="00F044EA">
      <w:pPr>
        <w:pStyle w:val="Heading"/>
      </w:pPr>
      <w:bookmarkStart w:id="47" w:name="_Toc62730402"/>
      <w:r>
        <w:rPr>
          <w:noProof/>
          <w:sz w:val="10"/>
          <w:szCs w:val="10"/>
        </w:rPr>
        <w:lastRenderedPageBreak/>
        <w:pict w14:anchorId="2D23F0EB">
          <v:rect id="_x0000_i1034" alt="" style="width:468pt;height:.05pt;mso-width-percent:0;mso-height-percent:0;mso-width-percent:0;mso-height-percent:0" o:hralign="center" o:hrstd="t" o:hr="t" fillcolor="#a0a0a0" stroked="f"/>
        </w:pict>
      </w:r>
      <w:r w:rsidR="000F6C1C">
        <w:t>RECOMMENDATIONS</w:t>
      </w:r>
      <w:bookmarkEnd w:id="47"/>
      <w:r>
        <w:rPr>
          <w:noProof/>
          <w:sz w:val="10"/>
          <w:szCs w:val="10"/>
        </w:rPr>
        <w:pict w14:anchorId="48C50075">
          <v:rect id="_x0000_i1033" alt="" style="width:468pt;height:.05pt;mso-width-percent:0;mso-height-percent:0;mso-width-percent:0;mso-height-percent:0" o:hralign="center" o:hrstd="t" o:hr="t" fillcolor="#a0a0a0" stroked="f"/>
        </w:pict>
      </w:r>
    </w:p>
    <w:p w14:paraId="493C6C5E" w14:textId="77777777" w:rsidR="001C645B" w:rsidRDefault="001C645B" w:rsidP="00D507F8">
      <w:pPr>
        <w:spacing w:line="480" w:lineRule="auto"/>
        <w:rPr>
          <w:b/>
          <w:u w:val="single"/>
        </w:rPr>
      </w:pPr>
    </w:p>
    <w:p w14:paraId="2E162B9D" w14:textId="109A0159" w:rsidR="000F6C1C" w:rsidRPr="00F044EA" w:rsidRDefault="000F6C1C" w:rsidP="00F044EA">
      <w:pPr>
        <w:spacing w:line="360" w:lineRule="auto"/>
        <w:ind w:firstLine="720"/>
        <w:jc w:val="both"/>
        <w:rPr>
          <w:rFonts w:ascii="Avenir Book" w:hAnsi="Avenir Book"/>
        </w:rPr>
      </w:pPr>
      <w:r w:rsidRPr="00F044EA">
        <w:rPr>
          <w:rFonts w:ascii="Avenir Book" w:hAnsi="Avenir Book"/>
        </w:rPr>
        <w:t>We believe that the Montgomery County’s Office of the Public Defender consistently</w:t>
      </w:r>
      <w:r w:rsidR="00D32FD9" w:rsidRPr="00F044EA">
        <w:rPr>
          <w:rFonts w:ascii="Avenir Book" w:hAnsi="Avenir Book"/>
        </w:rPr>
        <w:t xml:space="preserve"> strive</w:t>
      </w:r>
      <w:r w:rsidR="00B438F7" w:rsidRPr="00F044EA">
        <w:rPr>
          <w:rFonts w:ascii="Avenir Book" w:hAnsi="Avenir Book"/>
        </w:rPr>
        <w:t>s</w:t>
      </w:r>
      <w:r w:rsidR="00D32FD9" w:rsidRPr="00F044EA">
        <w:rPr>
          <w:rFonts w:ascii="Avenir Book" w:hAnsi="Avenir Book"/>
        </w:rPr>
        <w:t xml:space="preserve"> to</w:t>
      </w:r>
      <w:r w:rsidRPr="00F044EA">
        <w:rPr>
          <w:rFonts w:ascii="Avenir Book" w:hAnsi="Avenir Book"/>
        </w:rPr>
        <w:t xml:space="preserve"> provi</w:t>
      </w:r>
      <w:r w:rsidR="00D32FD9" w:rsidRPr="00F044EA">
        <w:rPr>
          <w:rFonts w:ascii="Avenir Book" w:hAnsi="Avenir Book"/>
        </w:rPr>
        <w:t>de</w:t>
      </w:r>
      <w:r w:rsidRPr="00F044EA">
        <w:rPr>
          <w:rFonts w:ascii="Avenir Book" w:hAnsi="Avenir Book"/>
        </w:rPr>
        <w:t xml:space="preserve"> high-quality representation to its clients. Attorneys in the office have shown an admirable level of dedication to the profession and have made </w:t>
      </w:r>
      <w:r w:rsidR="00A4795E" w:rsidRPr="00F044EA">
        <w:rPr>
          <w:rFonts w:ascii="Avenir Book" w:hAnsi="Avenir Book"/>
        </w:rPr>
        <w:t xml:space="preserve">great </w:t>
      </w:r>
      <w:r w:rsidR="00D32FD9" w:rsidRPr="00F044EA">
        <w:rPr>
          <w:rFonts w:ascii="Avenir Book" w:hAnsi="Avenir Book"/>
        </w:rPr>
        <w:t>efforts</w:t>
      </w:r>
      <w:r w:rsidRPr="00F044EA">
        <w:rPr>
          <w:rFonts w:ascii="Avenir Book" w:hAnsi="Avenir Book"/>
        </w:rPr>
        <w:t xml:space="preserve"> to ensure that the office provide</w:t>
      </w:r>
      <w:r w:rsidR="00AF45F9" w:rsidRPr="00F044EA">
        <w:rPr>
          <w:rFonts w:ascii="Avenir Book" w:hAnsi="Avenir Book"/>
        </w:rPr>
        <w:t>s</w:t>
      </w:r>
      <w:r w:rsidRPr="00F044EA">
        <w:rPr>
          <w:rFonts w:ascii="Avenir Book" w:hAnsi="Avenir Book"/>
        </w:rPr>
        <w:t xml:space="preserve"> exceptional services to their clients and the community. </w:t>
      </w:r>
      <w:r w:rsidR="001C645B" w:rsidRPr="00F044EA">
        <w:rPr>
          <w:rFonts w:ascii="Avenir Book" w:hAnsi="Avenir Book"/>
          <w:color w:val="000000"/>
        </w:rPr>
        <w:t>Furthermore, the O</w:t>
      </w:r>
      <w:r w:rsidRPr="00F044EA">
        <w:rPr>
          <w:rFonts w:ascii="Avenir Book" w:hAnsi="Avenir Book"/>
          <w:color w:val="000000"/>
        </w:rPr>
        <w:t xml:space="preserve">ffice’s current leadership has risen to the challenge of taking </w:t>
      </w:r>
      <w:r w:rsidR="001C645B" w:rsidRPr="00F044EA">
        <w:rPr>
          <w:rFonts w:ascii="Avenir Book" w:hAnsi="Avenir Book"/>
          <w:color w:val="000000"/>
        </w:rPr>
        <w:t xml:space="preserve">on </w:t>
      </w:r>
      <w:r w:rsidRPr="00F044EA">
        <w:rPr>
          <w:rFonts w:ascii="Avenir Book" w:hAnsi="Avenir Book"/>
          <w:color w:val="000000"/>
        </w:rPr>
        <w:t>new roles during a pandemic that has made serving clients considerably more difficult.</w:t>
      </w:r>
    </w:p>
    <w:p w14:paraId="2393FB3B" w14:textId="00C97B25" w:rsidR="000F6C1C" w:rsidRPr="00F044EA" w:rsidRDefault="000F6C1C" w:rsidP="00F044EA">
      <w:pPr>
        <w:spacing w:line="360" w:lineRule="auto"/>
        <w:ind w:firstLine="720"/>
        <w:jc w:val="both"/>
        <w:rPr>
          <w:rFonts w:ascii="Avenir Book" w:hAnsi="Avenir Book"/>
        </w:rPr>
      </w:pPr>
      <w:r w:rsidRPr="00F044EA">
        <w:rPr>
          <w:rFonts w:ascii="Avenir Book" w:hAnsi="Avenir Book"/>
        </w:rPr>
        <w:t>The Montgomery County Board of Commissioners has supported the Office’s efforts to ensure the sustained functioning of a first-rate public defender system. The Commission has significantly increased funding to the Office over the past several budget cycles</w:t>
      </w:r>
      <w:r w:rsidR="00FE56DB" w:rsidRPr="00F044EA">
        <w:rPr>
          <w:rFonts w:ascii="Avenir Book" w:hAnsi="Avenir Book"/>
        </w:rPr>
        <w:t>,</w:t>
      </w:r>
      <w:r w:rsidRPr="00F044EA">
        <w:rPr>
          <w:rFonts w:ascii="Avenir Book" w:hAnsi="Avenir Book"/>
        </w:rPr>
        <w:t xml:space="preserve"> </w:t>
      </w:r>
      <w:r w:rsidR="00FE56DB" w:rsidRPr="00F044EA">
        <w:rPr>
          <w:rFonts w:ascii="Avenir Book" w:hAnsi="Avenir Book"/>
        </w:rPr>
        <w:t xml:space="preserve">demonstrating its </w:t>
      </w:r>
      <w:r w:rsidR="0051364B">
        <w:rPr>
          <w:rFonts w:ascii="Avenir Book" w:hAnsi="Avenir Book"/>
        </w:rPr>
        <w:t>commitment</w:t>
      </w:r>
      <w:r w:rsidR="00FE56DB" w:rsidRPr="00F044EA">
        <w:rPr>
          <w:rFonts w:ascii="Avenir Book" w:hAnsi="Avenir Book"/>
        </w:rPr>
        <w:t xml:space="preserve"> to indigent defense through its </w:t>
      </w:r>
      <w:r w:rsidRPr="00F044EA">
        <w:rPr>
          <w:rFonts w:ascii="Avenir Book" w:hAnsi="Avenir Book"/>
        </w:rPr>
        <w:t>steady investment.</w:t>
      </w:r>
      <w:r w:rsidRPr="00F044EA">
        <w:rPr>
          <w:rFonts w:ascii="Avenir Book" w:hAnsi="Avenir Book"/>
          <w:vertAlign w:val="superscript"/>
        </w:rPr>
        <w:endnoteReference w:id="381"/>
      </w:r>
      <w:r w:rsidRPr="00F044EA">
        <w:rPr>
          <w:rFonts w:ascii="Avenir Book" w:hAnsi="Avenir Book"/>
        </w:rPr>
        <w:t xml:space="preserve"> </w:t>
      </w:r>
    </w:p>
    <w:p w14:paraId="7F19CE10" w14:textId="77777777" w:rsidR="000F6C1C" w:rsidRPr="00F044EA" w:rsidRDefault="000F6C1C" w:rsidP="00F044EA">
      <w:pPr>
        <w:spacing w:line="360" w:lineRule="auto"/>
        <w:ind w:firstLine="720"/>
        <w:jc w:val="both"/>
        <w:rPr>
          <w:rFonts w:ascii="Avenir Book" w:hAnsi="Avenir Book"/>
        </w:rPr>
      </w:pPr>
      <w:r w:rsidRPr="00F044EA">
        <w:rPr>
          <w:rFonts w:ascii="Avenir Book" w:hAnsi="Avenir Book"/>
        </w:rPr>
        <w:t>This funding has made it possible for the Office to hire additional attorneys, paralegals, and support staff members in the juvenile dependency and delinquency units — reflecting an overall increase from fifty-one full- and part-time employees in 2011 to sixty-six all full-time employees</w:t>
      </w:r>
      <w:r w:rsidR="00FE56DB" w:rsidRPr="00F044EA">
        <w:rPr>
          <w:rFonts w:ascii="Avenir Book" w:hAnsi="Avenir Book"/>
        </w:rPr>
        <w:t xml:space="preserve"> at the end of 2020</w:t>
      </w:r>
      <w:r w:rsidRPr="00F044EA">
        <w:rPr>
          <w:rFonts w:ascii="Avenir Book" w:hAnsi="Avenir Book"/>
        </w:rPr>
        <w:t>.</w:t>
      </w:r>
      <w:r w:rsidRPr="00F044EA">
        <w:rPr>
          <w:rFonts w:ascii="Avenir Book" w:hAnsi="Avenir Book"/>
          <w:vertAlign w:val="superscript"/>
        </w:rPr>
        <w:endnoteReference w:id="382"/>
      </w:r>
      <w:r w:rsidRPr="00F044EA">
        <w:rPr>
          <w:rFonts w:ascii="Avenir Book" w:hAnsi="Avenir Book"/>
        </w:rPr>
        <w:t xml:space="preserve"> In addition to hiring additional staff, the increased funding has also made it possible for the Office to make impressive strides in creating new positions and units for the </w:t>
      </w:r>
      <w:r w:rsidR="00FE56DB" w:rsidRPr="00F044EA">
        <w:rPr>
          <w:rFonts w:ascii="Avenir Book" w:hAnsi="Avenir Book"/>
        </w:rPr>
        <w:t>benefit</w:t>
      </w:r>
      <w:r w:rsidRPr="00F044EA">
        <w:rPr>
          <w:rFonts w:ascii="Avenir Book" w:hAnsi="Avenir Book"/>
        </w:rPr>
        <w:t xml:space="preserve"> of its clients. </w:t>
      </w:r>
    </w:p>
    <w:p w14:paraId="1C032E88" w14:textId="0A1AD8F7" w:rsidR="000F6C1C" w:rsidRPr="00F044EA" w:rsidRDefault="00FE56DB" w:rsidP="00F044EA">
      <w:pPr>
        <w:spacing w:line="360" w:lineRule="auto"/>
        <w:ind w:firstLine="720"/>
        <w:jc w:val="both"/>
        <w:rPr>
          <w:rFonts w:ascii="Avenir Book" w:hAnsi="Avenir Book"/>
        </w:rPr>
      </w:pPr>
      <w:r w:rsidRPr="00F044EA">
        <w:rPr>
          <w:rFonts w:ascii="Avenir Book" w:hAnsi="Avenir Book"/>
        </w:rPr>
        <w:t>In the last several years, t</w:t>
      </w:r>
      <w:r w:rsidR="000F6C1C" w:rsidRPr="00F044EA">
        <w:rPr>
          <w:rFonts w:ascii="Avenir Book" w:hAnsi="Avenir Book"/>
        </w:rPr>
        <w:t xml:space="preserve">he Office has </w:t>
      </w:r>
      <w:r w:rsidRPr="00F044EA">
        <w:rPr>
          <w:rFonts w:ascii="Avenir Book" w:hAnsi="Avenir Book"/>
        </w:rPr>
        <w:t>also been able to double</w:t>
      </w:r>
      <w:r w:rsidR="000F6C1C" w:rsidRPr="00F044EA">
        <w:rPr>
          <w:rFonts w:ascii="Avenir Book" w:hAnsi="Avenir Book"/>
        </w:rPr>
        <w:t xml:space="preserve"> </w:t>
      </w:r>
      <w:r w:rsidRPr="00F044EA">
        <w:rPr>
          <w:rFonts w:ascii="Avenir Book" w:hAnsi="Avenir Book"/>
        </w:rPr>
        <w:t>its</w:t>
      </w:r>
      <w:r w:rsidR="000F6C1C" w:rsidRPr="00F044EA">
        <w:rPr>
          <w:rFonts w:ascii="Avenir Book" w:hAnsi="Avenir Book"/>
        </w:rPr>
        <w:t xml:space="preserve"> nu</w:t>
      </w:r>
      <w:r w:rsidRPr="00F044EA">
        <w:rPr>
          <w:rFonts w:ascii="Avenir Book" w:hAnsi="Avenir Book"/>
        </w:rPr>
        <w:t>mber of investigators, and hire</w:t>
      </w:r>
      <w:r w:rsidR="000F6C1C" w:rsidRPr="00F044EA">
        <w:rPr>
          <w:rFonts w:ascii="Avenir Book" w:hAnsi="Avenir Book"/>
        </w:rPr>
        <w:t xml:space="preserve"> two staff members who are dedicated to interviewing persons newly admitted to the Montgomery County Correctional Facility within two to three business days of admission.</w:t>
      </w:r>
      <w:r w:rsidR="000F6C1C" w:rsidRPr="00F044EA">
        <w:rPr>
          <w:rFonts w:ascii="Avenir Book" w:hAnsi="Avenir Book"/>
          <w:vertAlign w:val="superscript"/>
        </w:rPr>
        <w:endnoteReference w:id="383"/>
      </w:r>
      <w:r w:rsidR="000F6C1C" w:rsidRPr="00F044EA">
        <w:rPr>
          <w:rFonts w:ascii="Avenir Book" w:hAnsi="Avenir Book"/>
        </w:rPr>
        <w:t xml:space="preserve"> It also expanded the Social Services Unit, which now </w:t>
      </w:r>
      <w:r w:rsidR="000F6C1C" w:rsidRPr="00F044EA">
        <w:rPr>
          <w:rFonts w:ascii="Avenir Book" w:hAnsi="Avenir Book"/>
        </w:rPr>
        <w:lastRenderedPageBreak/>
        <w:t>consists of social services advocates and a policy director.</w:t>
      </w:r>
      <w:r w:rsidR="000F6C1C" w:rsidRPr="00F044EA">
        <w:rPr>
          <w:rFonts w:ascii="Avenir Book" w:hAnsi="Avenir Book"/>
          <w:vertAlign w:val="superscript"/>
        </w:rPr>
        <w:endnoteReference w:id="384"/>
      </w:r>
      <w:r w:rsidR="000F6C1C" w:rsidRPr="00F044EA">
        <w:rPr>
          <w:rFonts w:ascii="Avenir Book" w:hAnsi="Avenir Book"/>
        </w:rPr>
        <w:t xml:space="preserve"> It has also created </w:t>
      </w:r>
      <w:r w:rsidR="00E1395E">
        <w:rPr>
          <w:rFonts w:ascii="Avenir Book" w:hAnsi="Avenir Book"/>
        </w:rPr>
        <w:t xml:space="preserve">new </w:t>
      </w:r>
      <w:r w:rsidR="000F6C1C" w:rsidRPr="00F044EA">
        <w:rPr>
          <w:rFonts w:ascii="Avenir Book" w:hAnsi="Avenir Book"/>
        </w:rPr>
        <w:t xml:space="preserve">dedicated attorney positions in </w:t>
      </w:r>
      <w:r w:rsidR="00E1395E">
        <w:rPr>
          <w:rFonts w:ascii="Avenir Book" w:hAnsi="Avenir Book"/>
        </w:rPr>
        <w:t>specialized practice areas</w:t>
      </w:r>
      <w:r w:rsidR="000F6C1C" w:rsidRPr="00F044EA">
        <w:rPr>
          <w:rFonts w:ascii="Avenir Book" w:hAnsi="Avenir Book"/>
        </w:rPr>
        <w:t xml:space="preserve"> and problem-solving courts. </w:t>
      </w:r>
    </w:p>
    <w:p w14:paraId="411CCE7B" w14:textId="4AD6DE41" w:rsidR="000F6C1C" w:rsidRPr="00F044EA" w:rsidRDefault="000F6C1C" w:rsidP="00F044EA">
      <w:pPr>
        <w:spacing w:line="360" w:lineRule="auto"/>
        <w:ind w:firstLine="720"/>
        <w:jc w:val="both"/>
        <w:rPr>
          <w:rFonts w:ascii="Avenir Book" w:hAnsi="Avenir Book"/>
        </w:rPr>
      </w:pPr>
      <w:r w:rsidRPr="00F044EA">
        <w:rPr>
          <w:rFonts w:ascii="Avenir Book" w:hAnsi="Avenir Book"/>
        </w:rPr>
        <w:t xml:space="preserve">Both the Office and the Commission have </w:t>
      </w:r>
      <w:r w:rsidR="00E1395E" w:rsidRPr="00F044EA">
        <w:rPr>
          <w:rFonts w:ascii="Avenir Book" w:hAnsi="Avenir Book"/>
        </w:rPr>
        <w:t xml:space="preserve">also </w:t>
      </w:r>
      <w:r w:rsidRPr="00F044EA">
        <w:rPr>
          <w:rFonts w:ascii="Avenir Book" w:hAnsi="Avenir Book"/>
        </w:rPr>
        <w:t>taken steps to investigate the question of pay parity. In 2018, the Office completed a salary study to determine whether public defender salaries in the county were competitive with district attorney salaries in the county.</w:t>
      </w:r>
      <w:r w:rsidRPr="00F044EA">
        <w:rPr>
          <w:rFonts w:ascii="Avenir Book" w:hAnsi="Avenir Book"/>
          <w:vertAlign w:val="superscript"/>
        </w:rPr>
        <w:endnoteReference w:id="385"/>
      </w:r>
      <w:r w:rsidRPr="00F044EA">
        <w:rPr>
          <w:rFonts w:ascii="Avenir Book" w:hAnsi="Avenir Book"/>
        </w:rPr>
        <w:t xml:space="preserve"> The study also compared Montgomery County public defender salaries with salaries in other counties. This work resulted in pay increases for employees.</w:t>
      </w:r>
      <w:r w:rsidRPr="00F044EA">
        <w:rPr>
          <w:rFonts w:ascii="Avenir Book" w:hAnsi="Avenir Book"/>
          <w:vertAlign w:val="superscript"/>
        </w:rPr>
        <w:endnoteReference w:id="386"/>
      </w:r>
    </w:p>
    <w:p w14:paraId="2D0A8D13" w14:textId="57383B6F" w:rsidR="000F6C1C" w:rsidRDefault="000F6C1C" w:rsidP="00F044EA">
      <w:pPr>
        <w:spacing w:line="360" w:lineRule="auto"/>
        <w:ind w:firstLine="720"/>
        <w:jc w:val="both"/>
        <w:rPr>
          <w:rFonts w:ascii="Avenir Book" w:hAnsi="Avenir Book"/>
        </w:rPr>
      </w:pPr>
      <w:r w:rsidRPr="00F044EA">
        <w:rPr>
          <w:rFonts w:ascii="Avenir Book" w:hAnsi="Avenir Book"/>
        </w:rPr>
        <w:t xml:space="preserve">There are, of course, </w:t>
      </w:r>
      <w:r w:rsidR="00E44A2A" w:rsidRPr="00F044EA">
        <w:rPr>
          <w:rFonts w:ascii="Avenir Book" w:hAnsi="Avenir Book"/>
        </w:rPr>
        <w:t xml:space="preserve">always </w:t>
      </w:r>
      <w:r w:rsidRPr="00F044EA">
        <w:rPr>
          <w:rFonts w:ascii="Avenir Book" w:hAnsi="Avenir Book"/>
        </w:rPr>
        <w:t xml:space="preserve">improvements that can be made to any organization. The recommendations herein reflect our </w:t>
      </w:r>
      <w:r w:rsidR="00D04897" w:rsidRPr="00F044EA">
        <w:rPr>
          <w:rFonts w:ascii="Avenir Book" w:hAnsi="Avenir Book"/>
        </w:rPr>
        <w:t xml:space="preserve">view </w:t>
      </w:r>
      <w:r w:rsidRPr="00F044EA">
        <w:rPr>
          <w:rFonts w:ascii="Avenir Book" w:hAnsi="Avenir Book"/>
        </w:rPr>
        <w:t xml:space="preserve">of adjustments that could be made to the Office – both internally and externally – </w:t>
      </w:r>
      <w:r w:rsidR="00F33843" w:rsidRPr="00F044EA">
        <w:rPr>
          <w:rFonts w:ascii="Avenir Book" w:hAnsi="Avenir Book"/>
        </w:rPr>
        <w:t xml:space="preserve">to clarify the relationship of the Office with the judicial and executive branches of county government, </w:t>
      </w:r>
      <w:r w:rsidRPr="00F044EA">
        <w:rPr>
          <w:rFonts w:ascii="Avenir Book" w:hAnsi="Avenir Book"/>
        </w:rPr>
        <w:t xml:space="preserve">to improve the work environment for </w:t>
      </w:r>
      <w:r w:rsidR="00F33843" w:rsidRPr="00F044EA">
        <w:rPr>
          <w:rFonts w:ascii="Avenir Book" w:hAnsi="Avenir Book"/>
        </w:rPr>
        <w:t>attorneys</w:t>
      </w:r>
      <w:r w:rsidR="00D04897" w:rsidRPr="00F044EA">
        <w:rPr>
          <w:rFonts w:ascii="Avenir Book" w:hAnsi="Avenir Book"/>
        </w:rPr>
        <w:t xml:space="preserve">, and to mitigate </w:t>
      </w:r>
      <w:r w:rsidR="00E1395E">
        <w:rPr>
          <w:rFonts w:ascii="Avenir Book" w:hAnsi="Avenir Book"/>
        </w:rPr>
        <w:t xml:space="preserve">any exposure to </w:t>
      </w:r>
      <w:r w:rsidR="00D04897" w:rsidRPr="00F044EA">
        <w:rPr>
          <w:rFonts w:ascii="Avenir Book" w:hAnsi="Avenir Book"/>
        </w:rPr>
        <w:t xml:space="preserve">risk </w:t>
      </w:r>
      <w:r w:rsidR="00E1395E">
        <w:rPr>
          <w:rFonts w:ascii="Avenir Book" w:hAnsi="Avenir Book"/>
        </w:rPr>
        <w:t>arising from potential litigation</w:t>
      </w:r>
      <w:r w:rsidRPr="00F044EA">
        <w:rPr>
          <w:rFonts w:ascii="Avenir Book" w:hAnsi="Avenir Book"/>
        </w:rPr>
        <w:t xml:space="preserve">. </w:t>
      </w:r>
    </w:p>
    <w:p w14:paraId="77756FEA" w14:textId="6E39C59A" w:rsidR="00F044EA" w:rsidRDefault="00F044EA" w:rsidP="00F044EA">
      <w:pPr>
        <w:spacing w:line="360" w:lineRule="auto"/>
        <w:ind w:firstLine="720"/>
        <w:jc w:val="both"/>
        <w:rPr>
          <w:rFonts w:ascii="Avenir Book" w:hAnsi="Avenir Book"/>
        </w:rPr>
      </w:pPr>
    </w:p>
    <w:p w14:paraId="395E914B" w14:textId="77777777" w:rsidR="000A1D60" w:rsidRPr="00F044EA" w:rsidRDefault="000A1D60" w:rsidP="00F044EA">
      <w:pPr>
        <w:spacing w:line="360" w:lineRule="auto"/>
        <w:ind w:firstLine="720"/>
        <w:jc w:val="both"/>
        <w:rPr>
          <w:rFonts w:ascii="Avenir Book" w:hAnsi="Avenir Book"/>
        </w:rPr>
      </w:pPr>
    </w:p>
    <w:p w14:paraId="19DF40EC" w14:textId="7BBFA6E0" w:rsidR="000F6C1C" w:rsidRDefault="00D32FD9" w:rsidP="00F044EA">
      <w:pPr>
        <w:pStyle w:val="HEAD2"/>
        <w:spacing w:line="240" w:lineRule="auto"/>
      </w:pPr>
      <w:bookmarkStart w:id="48" w:name="_Toc62730403"/>
      <w:r>
        <w:t xml:space="preserve">ENSURING </w:t>
      </w:r>
      <w:r w:rsidR="000F6C1C">
        <w:t>INDEPENDENCE</w:t>
      </w:r>
      <w:bookmarkEnd w:id="48"/>
    </w:p>
    <w:p w14:paraId="48CFFD6B" w14:textId="77777777" w:rsidR="000A1D60" w:rsidRPr="000A1D60" w:rsidRDefault="000A1D60" w:rsidP="00F044EA">
      <w:pPr>
        <w:pStyle w:val="head6"/>
        <w:spacing w:before="0"/>
        <w:rPr>
          <w:b w:val="0"/>
          <w:bCs w:val="0"/>
          <w:color w:val="262626" w:themeColor="text1" w:themeTint="D9"/>
          <w:sz w:val="24"/>
          <w:szCs w:val="24"/>
        </w:rPr>
      </w:pPr>
    </w:p>
    <w:p w14:paraId="24CA4BBE" w14:textId="33E73B05" w:rsidR="000F6C1C" w:rsidRPr="00F044EA" w:rsidRDefault="00F044EA" w:rsidP="00F044EA">
      <w:pPr>
        <w:pStyle w:val="head6"/>
        <w:spacing w:before="0"/>
        <w:rPr>
          <w:b w:val="0"/>
          <w:bCs w:val="0"/>
          <w:color w:val="262626" w:themeColor="text1" w:themeTint="D9"/>
          <w:sz w:val="26"/>
          <w:szCs w:val="26"/>
        </w:rPr>
      </w:pPr>
      <w:r w:rsidRPr="00F044EA">
        <w:rPr>
          <w:b w:val="0"/>
          <w:bCs w:val="0"/>
          <w:color w:val="262626" w:themeColor="text1" w:themeTint="D9"/>
          <w:sz w:val="26"/>
          <w:szCs w:val="26"/>
        </w:rPr>
        <w:t>We Recommend the Creation of an Independent Oversight Board to Advise and Guide the County’s Public Defender Office</w:t>
      </w:r>
    </w:p>
    <w:p w14:paraId="7FC87FBA" w14:textId="798E4150" w:rsidR="002E2C8B" w:rsidRPr="00F044EA" w:rsidRDefault="002E2C8B" w:rsidP="00F044EA">
      <w:pPr>
        <w:spacing w:line="360" w:lineRule="auto"/>
        <w:ind w:firstLine="720"/>
        <w:jc w:val="both"/>
        <w:rPr>
          <w:rFonts w:ascii="Avenir Book" w:hAnsi="Avenir Book"/>
        </w:rPr>
      </w:pPr>
      <w:r w:rsidRPr="00F044EA">
        <w:rPr>
          <w:rFonts w:ascii="Avenir Book" w:hAnsi="Avenir Book"/>
        </w:rPr>
        <w:t>Currently, Montgomery County has no structural mechanism in place to ensure the Office of the Public Defender is independent from external influence. The Public Defense Act places the responsibility of public defense on county governments and, as such, the Montgomery County Board of Commissioners is responsible for appointing the Chief Public Defender.</w:t>
      </w:r>
      <w:r w:rsidRPr="00F044EA">
        <w:rPr>
          <w:rFonts w:ascii="Avenir Book" w:hAnsi="Avenir Book"/>
          <w:vertAlign w:val="superscript"/>
        </w:rPr>
        <w:endnoteReference w:id="387"/>
      </w:r>
      <w:r w:rsidR="0057301D">
        <w:rPr>
          <w:rFonts w:ascii="Avenir Book" w:hAnsi="Avenir Book"/>
        </w:rPr>
        <w:t xml:space="preserve"> </w:t>
      </w:r>
      <w:r w:rsidRPr="00F044EA">
        <w:rPr>
          <w:rFonts w:ascii="Avenir Book" w:hAnsi="Avenir Book"/>
        </w:rPr>
        <w:t>While we have no reason to believe that the appointment of the Chief Defender is a “political appointment” as such, the appointing structure</w:t>
      </w:r>
      <w:r w:rsidR="00D04897" w:rsidRPr="00F044EA">
        <w:rPr>
          <w:rFonts w:ascii="Avenir Book" w:hAnsi="Avenir Book"/>
        </w:rPr>
        <w:t xml:space="preserve"> (and, by extension, the structure for </w:t>
      </w:r>
      <w:r w:rsidR="00C647ED">
        <w:rPr>
          <w:rFonts w:ascii="Avenir Book" w:hAnsi="Avenir Book"/>
        </w:rPr>
        <w:t>removing</w:t>
      </w:r>
      <w:r w:rsidR="00D04897" w:rsidRPr="00F044EA">
        <w:rPr>
          <w:rFonts w:ascii="Avenir Book" w:hAnsi="Avenir Book"/>
        </w:rPr>
        <w:t xml:space="preserve"> the Chief Defender)</w:t>
      </w:r>
      <w:r w:rsidRPr="00F044EA">
        <w:rPr>
          <w:rFonts w:ascii="Avenir Book" w:hAnsi="Avenir Book"/>
        </w:rPr>
        <w:t xml:space="preserve"> </w:t>
      </w:r>
      <w:r w:rsidR="00D04897" w:rsidRPr="00F044EA">
        <w:rPr>
          <w:rFonts w:ascii="Avenir Book" w:hAnsi="Avenir Book"/>
        </w:rPr>
        <w:t>creates the risk</w:t>
      </w:r>
      <w:r w:rsidRPr="00F044EA">
        <w:rPr>
          <w:rFonts w:ascii="Avenir Book" w:hAnsi="Avenir Book"/>
        </w:rPr>
        <w:t xml:space="preserve"> </w:t>
      </w:r>
      <w:r w:rsidR="00D04897" w:rsidRPr="00F044EA">
        <w:rPr>
          <w:rFonts w:ascii="Avenir Book" w:hAnsi="Avenir Book"/>
        </w:rPr>
        <w:t xml:space="preserve">of </w:t>
      </w:r>
      <w:r w:rsidRPr="00F044EA">
        <w:rPr>
          <w:rFonts w:ascii="Avenir Book" w:hAnsi="Avenir Book"/>
        </w:rPr>
        <w:t>political influence</w:t>
      </w:r>
      <w:r w:rsidR="00D04897" w:rsidRPr="00F044EA">
        <w:rPr>
          <w:rFonts w:ascii="Avenir Book" w:hAnsi="Avenir Book"/>
        </w:rPr>
        <w:t xml:space="preserve"> or its appearance</w:t>
      </w:r>
      <w:r w:rsidRPr="00F044EA">
        <w:rPr>
          <w:rFonts w:ascii="Avenir Book" w:hAnsi="Avenir Book"/>
        </w:rPr>
        <w:t>.</w:t>
      </w:r>
    </w:p>
    <w:p w14:paraId="532FC0AD" w14:textId="77777777" w:rsidR="00A76356" w:rsidRDefault="00D04897" w:rsidP="00F044EA">
      <w:pPr>
        <w:spacing w:line="360" w:lineRule="auto"/>
        <w:ind w:firstLine="720"/>
        <w:jc w:val="both"/>
        <w:rPr>
          <w:rFonts w:ascii="Avenir Book" w:hAnsi="Avenir Book"/>
          <w:color w:val="000000"/>
        </w:rPr>
      </w:pPr>
      <w:r w:rsidRPr="00F044EA">
        <w:rPr>
          <w:rFonts w:ascii="Avenir Book" w:hAnsi="Avenir Book"/>
        </w:rPr>
        <w:lastRenderedPageBreak/>
        <w:t>P</w:t>
      </w:r>
      <w:r w:rsidR="000F6C1C" w:rsidRPr="00F044EA">
        <w:rPr>
          <w:rFonts w:ascii="Avenir Book" w:hAnsi="Avenir Book"/>
        </w:rPr>
        <w:t xml:space="preserve">ublic defender offices operate most efficiently when they have an optimal level of independence </w:t>
      </w:r>
      <w:r w:rsidR="004F1885" w:rsidRPr="00F044EA">
        <w:rPr>
          <w:rFonts w:ascii="Avenir Book" w:hAnsi="Avenir Book"/>
        </w:rPr>
        <w:t xml:space="preserve">– both actual and perceived – </w:t>
      </w:r>
      <w:r w:rsidR="000F6C1C" w:rsidRPr="00F044EA">
        <w:rPr>
          <w:rFonts w:ascii="Avenir Book" w:hAnsi="Avenir Book"/>
        </w:rPr>
        <w:t>from judicial and political influence. Achieving such independence can take many forms</w:t>
      </w:r>
      <w:r w:rsidRPr="00F044EA">
        <w:rPr>
          <w:rFonts w:ascii="Avenir Book" w:hAnsi="Avenir Book"/>
        </w:rPr>
        <w:t xml:space="preserve">, </w:t>
      </w:r>
      <w:r w:rsidR="000F6C1C" w:rsidRPr="00F044EA">
        <w:rPr>
          <w:rFonts w:ascii="Avenir Book" w:hAnsi="Avenir Book"/>
        </w:rPr>
        <w:t xml:space="preserve">but </w:t>
      </w:r>
      <w:r w:rsidRPr="00F044EA">
        <w:rPr>
          <w:rFonts w:ascii="Avenir Book" w:hAnsi="Avenir Book"/>
        </w:rPr>
        <w:t>in light of the statutory constraints in Pennsylvania, the best</w:t>
      </w:r>
      <w:r w:rsidR="000F6C1C" w:rsidRPr="00F044EA">
        <w:rPr>
          <w:rFonts w:ascii="Avenir Book" w:hAnsi="Avenir Book"/>
        </w:rPr>
        <w:t xml:space="preserve"> approach is for </w:t>
      </w:r>
      <w:r w:rsidRPr="00F044EA">
        <w:rPr>
          <w:rFonts w:ascii="Avenir Book" w:hAnsi="Avenir Book"/>
        </w:rPr>
        <w:t>Montgomery County</w:t>
      </w:r>
      <w:r w:rsidR="000F6C1C" w:rsidRPr="00F044EA">
        <w:rPr>
          <w:rFonts w:ascii="Avenir Book" w:hAnsi="Avenir Book"/>
        </w:rPr>
        <w:t xml:space="preserve"> to crea</w:t>
      </w:r>
      <w:r w:rsidR="002E2C8B" w:rsidRPr="00F044EA">
        <w:rPr>
          <w:rFonts w:ascii="Avenir Book" w:hAnsi="Avenir Book"/>
        </w:rPr>
        <w:t>te an independent, nonpartisan Oversight B</w:t>
      </w:r>
      <w:r w:rsidR="000F6C1C" w:rsidRPr="00F044EA">
        <w:rPr>
          <w:rFonts w:ascii="Avenir Book" w:hAnsi="Avenir Book"/>
        </w:rPr>
        <w:t xml:space="preserve">oard, which can serve as a firewall between the Office and county government. </w:t>
      </w:r>
      <w:r w:rsidRPr="00F044EA">
        <w:rPr>
          <w:rFonts w:ascii="Avenir Book" w:hAnsi="Avenir Book"/>
          <w:color w:val="000000"/>
        </w:rPr>
        <w:t>In addition to ensuring that the Office is insulated from the executive, the creation of an oversight board will also relieve the Board of Commissioners from its duty as (informal or formal) monitor of the Office, thereby insulating the Commission from criticism regarding the actions of the Public Defender.</w:t>
      </w:r>
      <w:r w:rsidRPr="00F044EA">
        <w:rPr>
          <w:rFonts w:ascii="Avenir Book" w:hAnsi="Avenir Book"/>
          <w:color w:val="000000"/>
          <w:vertAlign w:val="superscript"/>
        </w:rPr>
        <w:endnoteReference w:id="388"/>
      </w:r>
      <w:r w:rsidRPr="00F044EA">
        <w:rPr>
          <w:rFonts w:ascii="Avenir Book" w:hAnsi="Avenir Book"/>
          <w:color w:val="000000"/>
        </w:rPr>
        <w:t xml:space="preserve"> </w:t>
      </w:r>
    </w:p>
    <w:p w14:paraId="7E0FEBD8" w14:textId="34D10EC1" w:rsidR="000F6C1C" w:rsidRPr="00F044EA" w:rsidRDefault="00804DF6" w:rsidP="00F044EA">
      <w:pPr>
        <w:spacing w:line="360" w:lineRule="auto"/>
        <w:ind w:firstLine="720"/>
        <w:jc w:val="both"/>
      </w:pPr>
      <w:r w:rsidRPr="00F044EA">
        <w:rPr>
          <w:rFonts w:ascii="Avenir Book" w:hAnsi="Avenir Book"/>
        </w:rPr>
        <w:t xml:space="preserve">Over time, the </w:t>
      </w:r>
      <w:r w:rsidR="00807833" w:rsidRPr="00F044EA">
        <w:rPr>
          <w:rFonts w:ascii="Avenir Book" w:hAnsi="Avenir Book"/>
        </w:rPr>
        <w:t xml:space="preserve">mandate of the </w:t>
      </w:r>
      <w:r w:rsidRPr="00F044EA">
        <w:rPr>
          <w:rFonts w:ascii="Avenir Book" w:hAnsi="Avenir Book"/>
        </w:rPr>
        <w:t>Oversight Board could be expanded to cover include</w:t>
      </w:r>
      <w:r w:rsidR="00B54BB2" w:rsidRPr="00F044EA">
        <w:rPr>
          <w:rFonts w:ascii="Avenir Book" w:hAnsi="Avenir Book"/>
        </w:rPr>
        <w:t xml:space="preserve"> additional functions</w:t>
      </w:r>
      <w:r w:rsidRPr="00F044EA">
        <w:rPr>
          <w:rFonts w:ascii="Avenir Book" w:hAnsi="Avenir Book"/>
        </w:rPr>
        <w:t xml:space="preserve"> </w:t>
      </w:r>
      <w:r w:rsidR="00807833" w:rsidRPr="00F044EA">
        <w:rPr>
          <w:rFonts w:ascii="Avenir Book" w:hAnsi="Avenir Book"/>
        </w:rPr>
        <w:t xml:space="preserve">such as </w:t>
      </w:r>
      <w:r w:rsidRPr="00F044EA">
        <w:rPr>
          <w:rFonts w:ascii="Avenir Book" w:hAnsi="Avenir Book"/>
        </w:rPr>
        <w:t xml:space="preserve">serving as a liaison </w:t>
      </w:r>
      <w:r w:rsidR="00AF45F9" w:rsidRPr="00F044EA">
        <w:rPr>
          <w:rFonts w:ascii="Avenir Book" w:hAnsi="Avenir Book"/>
        </w:rPr>
        <w:t xml:space="preserve">among </w:t>
      </w:r>
      <w:r w:rsidRPr="00F044EA">
        <w:rPr>
          <w:rFonts w:ascii="Avenir Book" w:hAnsi="Avenir Book"/>
        </w:rPr>
        <w:t xml:space="preserve">the Public Defender Office, the political branches, and other stakeholders; monitoring office-wide compliance with national standards; and </w:t>
      </w:r>
      <w:r w:rsidR="00992EC9" w:rsidRPr="00F044EA">
        <w:rPr>
          <w:rFonts w:ascii="Avenir Book" w:hAnsi="Avenir Book"/>
        </w:rPr>
        <w:t>supporting</w:t>
      </w:r>
      <w:r w:rsidRPr="00F044EA">
        <w:rPr>
          <w:rFonts w:ascii="Avenir Book" w:hAnsi="Avenir Book"/>
        </w:rPr>
        <w:t xml:space="preserve"> the provision of indigent defense services from attorneys who do not work for the Public Defender.</w:t>
      </w:r>
      <w:r w:rsidRPr="00F044EA">
        <w:rPr>
          <w:rFonts w:ascii="Avenir Book" w:hAnsi="Avenir Book"/>
          <w:vertAlign w:val="superscript"/>
        </w:rPr>
        <w:endnoteReference w:id="389"/>
      </w:r>
    </w:p>
    <w:p w14:paraId="43D7B7D4" w14:textId="77777777" w:rsidR="000F6C1C" w:rsidRDefault="000F6C1C" w:rsidP="00F044EA">
      <w:pPr>
        <w:pStyle w:val="head6"/>
      </w:pPr>
      <w:r>
        <w:t>Creation of the Oversight Board</w:t>
      </w:r>
    </w:p>
    <w:p w14:paraId="45B40B52" w14:textId="75C6C29C" w:rsidR="000F6C1C" w:rsidRPr="00F044EA" w:rsidRDefault="00AF45F9" w:rsidP="00F044EA">
      <w:pPr>
        <w:pBdr>
          <w:top w:val="nil"/>
          <w:left w:val="nil"/>
          <w:bottom w:val="nil"/>
          <w:right w:val="nil"/>
          <w:between w:val="nil"/>
        </w:pBdr>
        <w:spacing w:line="360" w:lineRule="auto"/>
        <w:ind w:firstLine="720"/>
        <w:jc w:val="both"/>
        <w:rPr>
          <w:rFonts w:ascii="Avenir Book" w:hAnsi="Avenir Book"/>
          <w:color w:val="000000"/>
        </w:rPr>
      </w:pPr>
      <w:r w:rsidRPr="00F044EA">
        <w:rPr>
          <w:rFonts w:ascii="Avenir Book" w:hAnsi="Avenir Book"/>
          <w:color w:val="000000"/>
        </w:rPr>
        <w:t xml:space="preserve">Neither the Public Defender Act nor any other </w:t>
      </w:r>
      <w:r w:rsidR="000F6C1C" w:rsidRPr="00F044EA">
        <w:rPr>
          <w:rFonts w:ascii="Avenir Book" w:hAnsi="Avenir Book"/>
          <w:color w:val="000000"/>
        </w:rPr>
        <w:t xml:space="preserve">Pennsylvania </w:t>
      </w:r>
      <w:r w:rsidRPr="00F044EA">
        <w:rPr>
          <w:rFonts w:ascii="Avenir Book" w:hAnsi="Avenir Book"/>
          <w:color w:val="000000"/>
        </w:rPr>
        <w:t>law precludes</w:t>
      </w:r>
      <w:r w:rsidR="000F6C1C" w:rsidRPr="00F044EA">
        <w:rPr>
          <w:rFonts w:ascii="Avenir Book" w:hAnsi="Avenir Book"/>
          <w:color w:val="000000"/>
        </w:rPr>
        <w:t xml:space="preserve"> the use of independent governing boards in agency operations. </w:t>
      </w:r>
      <w:r w:rsidRPr="00F044EA">
        <w:rPr>
          <w:rFonts w:ascii="Avenir Book" w:hAnsi="Avenir Book"/>
          <w:color w:val="000000"/>
        </w:rPr>
        <w:t>Indeed, t</w:t>
      </w:r>
      <w:r w:rsidRPr="00F044EA">
        <w:rPr>
          <w:rFonts w:ascii="Avenir Book" w:hAnsi="Avenir Book"/>
        </w:rPr>
        <w:t>he Board proposed by this Report is like many this county has already established to give advice to the Commissioners and guide county agencies.</w:t>
      </w:r>
      <w:r w:rsidR="00DE4554" w:rsidRPr="00F044EA">
        <w:rPr>
          <w:rStyle w:val="EndnoteReference"/>
          <w:rFonts w:ascii="Avenir Book" w:hAnsi="Avenir Book"/>
        </w:rPr>
        <w:endnoteReference w:id="390"/>
      </w:r>
      <w:r w:rsidR="00DE4554" w:rsidRPr="00F044EA">
        <w:rPr>
          <w:rFonts w:ascii="Avenir Book" w:hAnsi="Avenir Book"/>
        </w:rPr>
        <w:t xml:space="preserve"> </w:t>
      </w:r>
      <w:r w:rsidR="000F6C1C" w:rsidRPr="00F044EA">
        <w:rPr>
          <w:rFonts w:ascii="Avenir Book" w:hAnsi="Avenir Book"/>
          <w:color w:val="000000"/>
        </w:rPr>
        <w:t>Therefore, the Board of Commissioners is authorized to form an Oversight Board to oversee the provision of indigent defense services in the county.</w:t>
      </w:r>
    </w:p>
    <w:p w14:paraId="27231152" w14:textId="77777777" w:rsidR="000F6C1C" w:rsidRPr="00F044EA" w:rsidRDefault="000F6C1C" w:rsidP="00F044EA">
      <w:pPr>
        <w:pBdr>
          <w:top w:val="nil"/>
          <w:left w:val="nil"/>
          <w:bottom w:val="nil"/>
          <w:right w:val="nil"/>
          <w:between w:val="nil"/>
        </w:pBdr>
        <w:spacing w:line="360" w:lineRule="auto"/>
        <w:ind w:firstLine="720"/>
        <w:jc w:val="both"/>
        <w:rPr>
          <w:rFonts w:ascii="Avenir Book" w:hAnsi="Avenir Book"/>
          <w:color w:val="000000"/>
        </w:rPr>
      </w:pPr>
      <w:r w:rsidRPr="00F044EA">
        <w:rPr>
          <w:rFonts w:ascii="Avenir Book" w:hAnsi="Avenir Book"/>
          <w:color w:val="000000"/>
        </w:rPr>
        <w:t xml:space="preserve">In establishing the Oversight Board, the Commission would need to set forth a mission statement and bylaws establishing the contours of the Oversight Board’s authority. The Commission would also set the size of the Oversight Board and the term limits of </w:t>
      </w:r>
      <w:r w:rsidR="00AD09A5" w:rsidRPr="00F044EA">
        <w:rPr>
          <w:rFonts w:ascii="Avenir Book" w:hAnsi="Avenir Book"/>
          <w:color w:val="000000"/>
        </w:rPr>
        <w:t>board members</w:t>
      </w:r>
      <w:r w:rsidRPr="00F044EA">
        <w:rPr>
          <w:rFonts w:ascii="Avenir Book" w:hAnsi="Avenir Book"/>
          <w:color w:val="000000"/>
        </w:rPr>
        <w:t xml:space="preserve">. </w:t>
      </w:r>
    </w:p>
    <w:p w14:paraId="7A910D8A" w14:textId="51953B11" w:rsidR="000F6C1C" w:rsidRPr="00F044EA" w:rsidRDefault="000F6C1C" w:rsidP="00F044EA">
      <w:pPr>
        <w:pBdr>
          <w:top w:val="nil"/>
          <w:left w:val="nil"/>
          <w:bottom w:val="nil"/>
          <w:right w:val="nil"/>
          <w:between w:val="nil"/>
        </w:pBdr>
        <w:spacing w:line="360" w:lineRule="auto"/>
        <w:ind w:firstLine="720"/>
        <w:jc w:val="both"/>
        <w:rPr>
          <w:rFonts w:ascii="Avenir Book" w:hAnsi="Avenir Book"/>
          <w:color w:val="000000"/>
        </w:rPr>
      </w:pPr>
      <w:r w:rsidRPr="00F044EA">
        <w:rPr>
          <w:rFonts w:ascii="Avenir Book" w:hAnsi="Avenir Book"/>
          <w:color w:val="000000"/>
        </w:rPr>
        <w:lastRenderedPageBreak/>
        <w:t xml:space="preserve">While the Commission must initially be involved in the formation of the Oversight Board, it should not be responsible for the </w:t>
      </w:r>
      <w:r w:rsidR="003A62CC" w:rsidRPr="00F044EA">
        <w:rPr>
          <w:rFonts w:ascii="Avenir Book" w:hAnsi="Avenir Book"/>
          <w:color w:val="000000"/>
        </w:rPr>
        <w:t>selection</w:t>
      </w:r>
      <w:r w:rsidRPr="00F044EA">
        <w:rPr>
          <w:rFonts w:ascii="Avenir Book" w:hAnsi="Avenir Book"/>
          <w:color w:val="000000"/>
        </w:rPr>
        <w:t xml:space="preserve"> of </w:t>
      </w:r>
      <w:r w:rsidR="00AD09A5" w:rsidRPr="00F044EA">
        <w:rPr>
          <w:rFonts w:ascii="Avenir Book" w:hAnsi="Avenir Book"/>
          <w:color w:val="000000"/>
        </w:rPr>
        <w:t>board members</w:t>
      </w:r>
      <w:r w:rsidRPr="00F044EA">
        <w:rPr>
          <w:rFonts w:ascii="Avenir Book" w:hAnsi="Avenir Book"/>
          <w:color w:val="000000"/>
        </w:rPr>
        <w:t xml:space="preserve">. The Commission should delegate the responsibility of nominating and selecting </w:t>
      </w:r>
      <w:r w:rsidR="00AD09A5" w:rsidRPr="00F044EA">
        <w:rPr>
          <w:rFonts w:ascii="Avenir Book" w:hAnsi="Avenir Book"/>
          <w:color w:val="000000"/>
        </w:rPr>
        <w:t>board members</w:t>
      </w:r>
      <w:r w:rsidRPr="00F044EA">
        <w:rPr>
          <w:rFonts w:ascii="Avenir Book" w:hAnsi="Avenir Book"/>
          <w:color w:val="000000"/>
        </w:rPr>
        <w:t xml:space="preserve"> to multiple appointing authorities so that no organization or “single branch of government has a majority of appointments” on the </w:t>
      </w:r>
      <w:r w:rsidR="00614834" w:rsidRPr="00F044EA">
        <w:rPr>
          <w:rFonts w:ascii="Avenir Book" w:hAnsi="Avenir Book"/>
          <w:color w:val="000000"/>
        </w:rPr>
        <w:t>Oversight Board</w:t>
      </w:r>
      <w:r w:rsidRPr="00F044EA">
        <w:rPr>
          <w:rFonts w:ascii="Avenir Book" w:hAnsi="Avenir Book"/>
          <w:color w:val="000000"/>
        </w:rPr>
        <w:t>.</w:t>
      </w:r>
      <w:r w:rsidRPr="00F044EA">
        <w:rPr>
          <w:rFonts w:ascii="Avenir Book" w:hAnsi="Avenir Book"/>
          <w:color w:val="000000"/>
          <w:vertAlign w:val="superscript"/>
        </w:rPr>
        <w:endnoteReference w:id="391"/>
      </w:r>
      <w:r w:rsidRPr="00F044EA">
        <w:rPr>
          <w:rFonts w:ascii="Avenir Book" w:hAnsi="Avenir Book"/>
          <w:color w:val="000000"/>
        </w:rPr>
        <w:t xml:space="preserve"> The Commission may choose to consult with the Montgomery County Bar Association to determine the best organizations to nominate Oversight </w:t>
      </w:r>
      <w:r w:rsidR="00AD09A5" w:rsidRPr="00F044EA">
        <w:rPr>
          <w:rFonts w:ascii="Avenir Book" w:hAnsi="Avenir Book"/>
          <w:color w:val="000000"/>
        </w:rPr>
        <w:t>board members</w:t>
      </w:r>
      <w:r w:rsidRPr="00F044EA">
        <w:rPr>
          <w:rFonts w:ascii="Avenir Book" w:hAnsi="Avenir Book"/>
          <w:color w:val="000000"/>
        </w:rPr>
        <w:t>.</w:t>
      </w:r>
    </w:p>
    <w:p w14:paraId="29C151E8" w14:textId="77777777" w:rsidR="000F6C1C" w:rsidRDefault="000F6C1C" w:rsidP="00F044EA">
      <w:pPr>
        <w:pStyle w:val="head6"/>
      </w:pPr>
      <w:r>
        <w:t>Board Composition</w:t>
      </w:r>
    </w:p>
    <w:p w14:paraId="787004F9" w14:textId="77777777" w:rsidR="000F6C1C" w:rsidRPr="00F044EA" w:rsidRDefault="000F6C1C" w:rsidP="00F044EA">
      <w:pPr>
        <w:pBdr>
          <w:top w:val="nil"/>
          <w:left w:val="nil"/>
          <w:bottom w:val="nil"/>
          <w:right w:val="nil"/>
          <w:between w:val="nil"/>
        </w:pBdr>
        <w:spacing w:line="360" w:lineRule="auto"/>
        <w:ind w:firstLine="720"/>
        <w:jc w:val="both"/>
        <w:rPr>
          <w:rFonts w:ascii="Avenir Book" w:hAnsi="Avenir Book"/>
          <w:color w:val="000000"/>
        </w:rPr>
      </w:pPr>
      <w:r w:rsidRPr="00F044EA">
        <w:rPr>
          <w:rFonts w:ascii="Avenir Book" w:hAnsi="Avenir Book"/>
          <w:color w:val="000000"/>
        </w:rPr>
        <w:t>The Oversight Board should be nonpartisan to remove potential political influence.</w:t>
      </w:r>
      <w:r w:rsidRPr="00F044EA">
        <w:rPr>
          <w:rFonts w:ascii="Avenir Book" w:hAnsi="Avenir Book"/>
          <w:color w:val="000000"/>
          <w:vertAlign w:val="superscript"/>
        </w:rPr>
        <w:endnoteReference w:id="392"/>
      </w:r>
      <w:r w:rsidRPr="00F044EA">
        <w:rPr>
          <w:rFonts w:ascii="Avenir Book" w:hAnsi="Avenir Book"/>
          <w:color w:val="000000"/>
        </w:rPr>
        <w:t xml:space="preserve"> For similar reasons, it should not include any current members of county government or political officeholders. To prevent any real or perceived conflicts of interest, there should be no active prosecutors or judges included in the membership.</w:t>
      </w:r>
      <w:r w:rsidRPr="00F044EA">
        <w:rPr>
          <w:rFonts w:ascii="Avenir Book" w:hAnsi="Avenir Book"/>
          <w:color w:val="000000"/>
          <w:vertAlign w:val="superscript"/>
        </w:rPr>
        <w:endnoteReference w:id="393"/>
      </w:r>
      <w:r w:rsidRPr="00F044EA">
        <w:rPr>
          <w:rFonts w:ascii="Avenir Book" w:hAnsi="Avenir Book"/>
          <w:color w:val="000000"/>
        </w:rPr>
        <w:t xml:space="preserve">  </w:t>
      </w:r>
    </w:p>
    <w:p w14:paraId="7C7BC089" w14:textId="50B3C7A0" w:rsidR="000F6C1C" w:rsidRPr="00F044EA" w:rsidRDefault="000F6C1C" w:rsidP="00F044EA">
      <w:pPr>
        <w:pBdr>
          <w:top w:val="nil"/>
          <w:left w:val="nil"/>
          <w:bottom w:val="nil"/>
          <w:right w:val="nil"/>
          <w:between w:val="nil"/>
        </w:pBdr>
        <w:spacing w:line="360" w:lineRule="auto"/>
        <w:ind w:firstLine="720"/>
        <w:jc w:val="both"/>
        <w:rPr>
          <w:rFonts w:ascii="Avenir Book" w:hAnsi="Avenir Book"/>
          <w:color w:val="000000"/>
        </w:rPr>
      </w:pPr>
      <w:r w:rsidRPr="00F044EA">
        <w:rPr>
          <w:rFonts w:ascii="Avenir Book" w:hAnsi="Avenir Book"/>
          <w:color w:val="000000"/>
        </w:rPr>
        <w:t xml:space="preserve">The Oversight Board should include a diverse </w:t>
      </w:r>
      <w:r w:rsidR="006805AE" w:rsidRPr="00F044EA">
        <w:rPr>
          <w:rFonts w:ascii="Avenir Book" w:hAnsi="Avenir Book"/>
          <w:color w:val="000000"/>
        </w:rPr>
        <w:t xml:space="preserve">group </w:t>
      </w:r>
      <w:r w:rsidRPr="00F044EA">
        <w:rPr>
          <w:rFonts w:ascii="Avenir Book" w:hAnsi="Avenir Book"/>
          <w:color w:val="000000"/>
        </w:rPr>
        <w:t>of people who are devoted to the continuous improvement of indigent defense representation.</w:t>
      </w:r>
      <w:r w:rsidRPr="00F044EA">
        <w:rPr>
          <w:rFonts w:ascii="Avenir Book" w:hAnsi="Avenir Book"/>
          <w:color w:val="000000"/>
          <w:vertAlign w:val="superscript"/>
        </w:rPr>
        <w:endnoteReference w:id="394"/>
      </w:r>
      <w:r w:rsidRPr="00F044EA">
        <w:rPr>
          <w:rFonts w:ascii="Avenir Book" w:hAnsi="Avenir Book"/>
          <w:color w:val="000000"/>
        </w:rPr>
        <w:t xml:space="preserve"> T</w:t>
      </w:r>
      <w:r w:rsidRPr="00F044EA">
        <w:rPr>
          <w:rFonts w:ascii="Avenir Book" w:hAnsi="Avenir Book"/>
        </w:rPr>
        <w:t>he majority</w:t>
      </w:r>
      <w:r w:rsidRPr="00F044EA">
        <w:rPr>
          <w:rFonts w:ascii="Avenir Book" w:hAnsi="Avenir Book"/>
          <w:color w:val="000000"/>
        </w:rPr>
        <w:t xml:space="preserve"> of </w:t>
      </w:r>
      <w:r w:rsidR="00AD09A5" w:rsidRPr="00F044EA">
        <w:rPr>
          <w:rFonts w:ascii="Avenir Book" w:hAnsi="Avenir Book"/>
          <w:color w:val="000000"/>
        </w:rPr>
        <w:t>board members</w:t>
      </w:r>
      <w:r w:rsidRPr="00F044EA">
        <w:rPr>
          <w:rFonts w:ascii="Avenir Book" w:hAnsi="Avenir Book"/>
          <w:color w:val="000000"/>
        </w:rPr>
        <w:t xml:space="preserve"> should be attorneys licensed to practice in Montgomery County. The Oversight Board should also include other relevant public defense stakeholders, including representatives from local community organizations; people who have had past interactions with the criminal legal system and/or their family members; deans or academic professionals from area law schools; as well as former public defenders who have had firsthand experience in the unique challenges of public defense.</w:t>
      </w:r>
      <w:r w:rsidRPr="00F044EA">
        <w:rPr>
          <w:rFonts w:ascii="Avenir Book" w:hAnsi="Avenir Book"/>
          <w:color w:val="000000"/>
          <w:vertAlign w:val="superscript"/>
        </w:rPr>
        <w:endnoteReference w:id="395"/>
      </w:r>
    </w:p>
    <w:p w14:paraId="4424BF9F" w14:textId="1B3E9F23" w:rsidR="000F6C1C" w:rsidRDefault="000F6C1C" w:rsidP="00F044EA">
      <w:pPr>
        <w:pBdr>
          <w:top w:val="nil"/>
          <w:left w:val="nil"/>
          <w:bottom w:val="nil"/>
          <w:right w:val="nil"/>
          <w:between w:val="nil"/>
        </w:pBdr>
        <w:spacing w:line="360" w:lineRule="auto"/>
        <w:ind w:firstLine="720"/>
        <w:jc w:val="both"/>
        <w:rPr>
          <w:rFonts w:ascii="Avenir Book" w:hAnsi="Avenir Book"/>
          <w:color w:val="000000"/>
        </w:rPr>
      </w:pPr>
      <w:r w:rsidRPr="00F044EA">
        <w:rPr>
          <w:rFonts w:ascii="Avenir Book" w:hAnsi="Avenir Book"/>
          <w:color w:val="000000"/>
        </w:rPr>
        <w:t xml:space="preserve">To ensure a continuous variety of representation and encourage new voices, </w:t>
      </w:r>
      <w:r w:rsidR="00A06446" w:rsidRPr="00F044EA">
        <w:rPr>
          <w:rFonts w:ascii="Avenir Book" w:hAnsi="Avenir Book"/>
          <w:color w:val="000000"/>
        </w:rPr>
        <w:t>Oversight Board</w:t>
      </w:r>
      <w:r w:rsidRPr="00F044EA">
        <w:rPr>
          <w:rFonts w:ascii="Avenir Book" w:hAnsi="Avenir Book"/>
          <w:color w:val="000000"/>
        </w:rPr>
        <w:t xml:space="preserve"> members should have staggered term limits.</w:t>
      </w:r>
      <w:r w:rsidRPr="00F044EA">
        <w:rPr>
          <w:rFonts w:ascii="Avenir Book" w:hAnsi="Avenir Book"/>
          <w:color w:val="000000"/>
          <w:vertAlign w:val="superscript"/>
        </w:rPr>
        <w:endnoteReference w:id="396"/>
      </w:r>
    </w:p>
    <w:p w14:paraId="7B318693" w14:textId="77777777" w:rsidR="00767AB5" w:rsidRDefault="00767AB5" w:rsidP="00F044EA">
      <w:pPr>
        <w:pBdr>
          <w:top w:val="nil"/>
          <w:left w:val="nil"/>
          <w:bottom w:val="nil"/>
          <w:right w:val="nil"/>
          <w:between w:val="nil"/>
        </w:pBdr>
        <w:spacing w:line="360" w:lineRule="auto"/>
        <w:ind w:firstLine="720"/>
        <w:jc w:val="both"/>
        <w:rPr>
          <w:rFonts w:ascii="Avenir Book" w:hAnsi="Avenir Book"/>
          <w:color w:val="000000"/>
        </w:rPr>
      </w:pPr>
    </w:p>
    <w:p w14:paraId="4076857D" w14:textId="77777777" w:rsidR="00A41502" w:rsidRPr="00F044EA" w:rsidRDefault="00A41502" w:rsidP="00F044EA">
      <w:pPr>
        <w:pBdr>
          <w:top w:val="nil"/>
          <w:left w:val="nil"/>
          <w:bottom w:val="nil"/>
          <w:right w:val="nil"/>
          <w:between w:val="nil"/>
        </w:pBdr>
        <w:spacing w:line="360" w:lineRule="auto"/>
        <w:ind w:firstLine="720"/>
        <w:jc w:val="both"/>
        <w:rPr>
          <w:rFonts w:ascii="Avenir Book" w:hAnsi="Avenir Book"/>
          <w:color w:val="000000"/>
        </w:rPr>
      </w:pPr>
    </w:p>
    <w:p w14:paraId="6D426C37" w14:textId="0AE21D1F" w:rsidR="00A41502" w:rsidRPr="00A41502" w:rsidRDefault="00A41502" w:rsidP="00A41502">
      <w:pPr>
        <w:pStyle w:val="head6"/>
        <w:spacing w:before="0"/>
        <w:rPr>
          <w:b w:val="0"/>
          <w:bCs w:val="0"/>
          <w:color w:val="262626" w:themeColor="text1" w:themeTint="D9"/>
          <w:sz w:val="26"/>
          <w:szCs w:val="26"/>
        </w:rPr>
      </w:pPr>
      <w:r>
        <w:rPr>
          <w:b w:val="0"/>
          <w:bCs w:val="0"/>
          <w:color w:val="262626" w:themeColor="text1" w:themeTint="D9"/>
          <w:sz w:val="26"/>
          <w:szCs w:val="26"/>
        </w:rPr>
        <w:lastRenderedPageBreak/>
        <w:t xml:space="preserve">We Recommend that </w:t>
      </w:r>
      <w:r w:rsidRPr="00A41502">
        <w:rPr>
          <w:b w:val="0"/>
          <w:bCs w:val="0"/>
          <w:color w:val="262626" w:themeColor="text1" w:themeTint="D9"/>
          <w:sz w:val="26"/>
          <w:szCs w:val="26"/>
        </w:rPr>
        <w:t xml:space="preserve">Montgomery County </w:t>
      </w:r>
      <w:r w:rsidR="00D267E7">
        <w:rPr>
          <w:b w:val="0"/>
          <w:bCs w:val="0"/>
          <w:color w:val="262626" w:themeColor="text1" w:themeTint="D9"/>
          <w:sz w:val="26"/>
          <w:szCs w:val="26"/>
        </w:rPr>
        <w:t>D</w:t>
      </w:r>
      <w:r w:rsidRPr="00A41502">
        <w:rPr>
          <w:b w:val="0"/>
          <w:bCs w:val="0"/>
          <w:color w:val="262626" w:themeColor="text1" w:themeTint="D9"/>
          <w:sz w:val="26"/>
          <w:szCs w:val="26"/>
        </w:rPr>
        <w:t xml:space="preserve">elegate the </w:t>
      </w:r>
      <w:r w:rsidR="00D267E7">
        <w:rPr>
          <w:b w:val="0"/>
          <w:bCs w:val="0"/>
          <w:color w:val="262626" w:themeColor="text1" w:themeTint="D9"/>
          <w:sz w:val="26"/>
          <w:szCs w:val="26"/>
        </w:rPr>
        <w:t>S</w:t>
      </w:r>
      <w:r w:rsidRPr="00A41502">
        <w:rPr>
          <w:b w:val="0"/>
          <w:bCs w:val="0"/>
          <w:color w:val="262626" w:themeColor="text1" w:themeTint="D9"/>
          <w:sz w:val="26"/>
          <w:szCs w:val="26"/>
        </w:rPr>
        <w:t xml:space="preserve">election </w:t>
      </w:r>
      <w:r w:rsidR="00D267E7">
        <w:rPr>
          <w:b w:val="0"/>
          <w:bCs w:val="0"/>
          <w:color w:val="262626" w:themeColor="text1" w:themeTint="D9"/>
          <w:sz w:val="26"/>
          <w:szCs w:val="26"/>
        </w:rPr>
        <w:t>P</w:t>
      </w:r>
      <w:r w:rsidRPr="00A41502">
        <w:rPr>
          <w:b w:val="0"/>
          <w:bCs w:val="0"/>
          <w:color w:val="262626" w:themeColor="text1" w:themeTint="D9"/>
          <w:sz w:val="26"/>
          <w:szCs w:val="26"/>
        </w:rPr>
        <w:t xml:space="preserve">rocess of the Chief Public Defender to </w:t>
      </w:r>
      <w:r>
        <w:rPr>
          <w:b w:val="0"/>
          <w:bCs w:val="0"/>
          <w:color w:val="262626" w:themeColor="text1" w:themeTint="D9"/>
          <w:sz w:val="26"/>
          <w:szCs w:val="26"/>
        </w:rPr>
        <w:t>the</w:t>
      </w:r>
      <w:r w:rsidRPr="00A41502">
        <w:rPr>
          <w:b w:val="0"/>
          <w:bCs w:val="0"/>
          <w:color w:val="262626" w:themeColor="text1" w:themeTint="D9"/>
          <w:sz w:val="26"/>
          <w:szCs w:val="26"/>
        </w:rPr>
        <w:t xml:space="preserve"> Oversight Board</w:t>
      </w:r>
    </w:p>
    <w:p w14:paraId="26C0259D" w14:textId="00773A79" w:rsidR="009E5F25" w:rsidRPr="00F044EA" w:rsidRDefault="009E5F25" w:rsidP="00F044EA">
      <w:pPr>
        <w:pBdr>
          <w:top w:val="nil"/>
          <w:left w:val="nil"/>
          <w:bottom w:val="nil"/>
          <w:right w:val="nil"/>
          <w:between w:val="nil"/>
        </w:pBdr>
        <w:spacing w:line="360" w:lineRule="auto"/>
        <w:ind w:firstLine="720"/>
        <w:jc w:val="both"/>
        <w:rPr>
          <w:rFonts w:ascii="Avenir Book" w:hAnsi="Avenir Book"/>
          <w:color w:val="000000"/>
        </w:rPr>
      </w:pPr>
      <w:r w:rsidRPr="00F044EA">
        <w:rPr>
          <w:rFonts w:ascii="Avenir Book" w:hAnsi="Avenir Book"/>
          <w:color w:val="000000"/>
        </w:rPr>
        <w:t xml:space="preserve">The Oversight Board should play the central role in appointing the Chief Public Defender. While Pennsylvania’s legal framework requires the Board of Commissioners to appoint the Chief Public Defender, we recommend that the Commission delegate </w:t>
      </w:r>
      <w:r w:rsidR="006805AE" w:rsidRPr="00F044EA">
        <w:rPr>
          <w:rFonts w:ascii="Avenir Book" w:hAnsi="Avenir Book"/>
          <w:color w:val="000000"/>
        </w:rPr>
        <w:t xml:space="preserve">part of </w:t>
      </w:r>
      <w:r w:rsidRPr="00F044EA">
        <w:rPr>
          <w:rFonts w:ascii="Avenir Book" w:hAnsi="Avenir Book"/>
          <w:color w:val="000000"/>
        </w:rPr>
        <w:t xml:space="preserve">the selection </w:t>
      </w:r>
      <w:r w:rsidR="006805AE" w:rsidRPr="00F044EA">
        <w:rPr>
          <w:rFonts w:ascii="Avenir Book" w:hAnsi="Avenir Book"/>
          <w:color w:val="000000"/>
        </w:rPr>
        <w:t>process</w:t>
      </w:r>
      <w:r w:rsidR="00651903" w:rsidRPr="00F044EA">
        <w:rPr>
          <w:rFonts w:ascii="Avenir Book" w:hAnsi="Avenir Book"/>
          <w:color w:val="000000"/>
        </w:rPr>
        <w:t xml:space="preserve"> </w:t>
      </w:r>
      <w:r w:rsidRPr="00F044EA">
        <w:rPr>
          <w:rFonts w:ascii="Avenir Book" w:hAnsi="Avenir Book"/>
          <w:color w:val="000000"/>
        </w:rPr>
        <w:t>to the newly-created Oversight Board.</w:t>
      </w:r>
      <w:r w:rsidRPr="00F044EA">
        <w:rPr>
          <w:rFonts w:ascii="Avenir Book" w:hAnsi="Avenir Book"/>
          <w:color w:val="000000"/>
          <w:vertAlign w:val="superscript"/>
        </w:rPr>
        <w:t xml:space="preserve"> </w:t>
      </w:r>
      <w:r w:rsidRPr="00F044EA">
        <w:rPr>
          <w:rFonts w:ascii="Avenir Book" w:hAnsi="Avenir Book"/>
          <w:color w:val="000000"/>
          <w:vertAlign w:val="superscript"/>
        </w:rPr>
        <w:endnoteReference w:id="397"/>
      </w:r>
      <w:r w:rsidRPr="00F044EA">
        <w:rPr>
          <w:rFonts w:ascii="Avenir Book" w:hAnsi="Avenir Book"/>
          <w:color w:val="000000"/>
        </w:rPr>
        <w:t xml:space="preserve">  The Oversight Board, following its own internal selection processes – consistent with its bylaws and mission statement – would then provide the Board of Commissioners with (1) a ranked list of candidates for Chief Defender, with the expectation that the Commission would appoint the highest ranked candidate </w:t>
      </w:r>
      <w:r w:rsidR="00A76356">
        <w:rPr>
          <w:rFonts w:ascii="Avenir Book" w:hAnsi="Avenir Book"/>
          <w:color w:val="000000"/>
        </w:rPr>
        <w:t>absent</w:t>
      </w:r>
      <w:r w:rsidRPr="00F044EA">
        <w:rPr>
          <w:rFonts w:ascii="Avenir Book" w:hAnsi="Avenir Book"/>
          <w:color w:val="000000"/>
        </w:rPr>
        <w:t xml:space="preserve"> exceptional circumstances; or (2) a slate of unranked candidates from which the Commission would make a final appointment. Under the unusual circumstance that the Commission rejected all proposed candidates, the Oversight Board would be tasked with the responsibility of providing a new list of candidates to the Commission within a set time. </w:t>
      </w:r>
    </w:p>
    <w:p w14:paraId="481D7713" w14:textId="063FC296" w:rsidR="00F16970" w:rsidRDefault="006805AE" w:rsidP="00767AB5">
      <w:pPr>
        <w:pBdr>
          <w:top w:val="nil"/>
          <w:left w:val="nil"/>
          <w:bottom w:val="nil"/>
          <w:right w:val="nil"/>
          <w:between w:val="nil"/>
        </w:pBdr>
        <w:spacing w:line="360" w:lineRule="auto"/>
        <w:ind w:firstLine="720"/>
        <w:jc w:val="both"/>
        <w:rPr>
          <w:rFonts w:ascii="Avenir Book" w:hAnsi="Avenir Book"/>
          <w:color w:val="000000"/>
        </w:rPr>
      </w:pPr>
      <w:r w:rsidRPr="00F044EA">
        <w:rPr>
          <w:rFonts w:ascii="Avenir Book" w:hAnsi="Avenir Book"/>
          <w:color w:val="000000"/>
        </w:rPr>
        <w:t xml:space="preserve">The Oversight Board should also be consulted in any decision regarding the proposed </w:t>
      </w:r>
      <w:r w:rsidR="00C647ED">
        <w:rPr>
          <w:rFonts w:ascii="Avenir Book" w:hAnsi="Avenir Book"/>
          <w:color w:val="000000"/>
        </w:rPr>
        <w:t>removal</w:t>
      </w:r>
      <w:r w:rsidRPr="00F044EA">
        <w:rPr>
          <w:rFonts w:ascii="Avenir Book" w:hAnsi="Avenir Book"/>
          <w:color w:val="000000"/>
        </w:rPr>
        <w:t xml:space="preserve"> of the Chief Defender. In addition to any other requirements currently in place, the Commission should be required to submit a detailed statement outlining </w:t>
      </w:r>
      <w:r w:rsidR="00A76356">
        <w:rPr>
          <w:rFonts w:ascii="Avenir Book" w:hAnsi="Avenir Book"/>
          <w:color w:val="000000"/>
        </w:rPr>
        <w:t xml:space="preserve">just </w:t>
      </w:r>
      <w:r w:rsidRPr="00F044EA">
        <w:rPr>
          <w:rFonts w:ascii="Avenir Book" w:hAnsi="Avenir Book"/>
          <w:color w:val="000000"/>
        </w:rPr>
        <w:t xml:space="preserve">cause for termination to the Oversight Board and, before taking any </w:t>
      </w:r>
      <w:r w:rsidR="00E57A6E" w:rsidRPr="00F044EA">
        <w:rPr>
          <w:rFonts w:ascii="Avenir Book" w:hAnsi="Avenir Book"/>
          <w:color w:val="000000"/>
        </w:rPr>
        <w:t xml:space="preserve">termination </w:t>
      </w:r>
      <w:r w:rsidRPr="00F044EA">
        <w:rPr>
          <w:rFonts w:ascii="Avenir Book" w:hAnsi="Avenir Book"/>
          <w:color w:val="000000"/>
        </w:rPr>
        <w:t>action, permit the Board to weigh-in on the decision.</w:t>
      </w:r>
      <w:r w:rsidRPr="00F044EA">
        <w:rPr>
          <w:rFonts w:ascii="Avenir Book" w:hAnsi="Avenir Book"/>
          <w:color w:val="000000"/>
          <w:vertAlign w:val="superscript"/>
        </w:rPr>
        <w:endnoteReference w:id="398"/>
      </w:r>
      <w:r w:rsidRPr="00F044EA">
        <w:rPr>
          <w:rFonts w:ascii="Avenir Book" w:hAnsi="Avenir Book"/>
          <w:color w:val="000000"/>
        </w:rPr>
        <w:t xml:space="preserve"> </w:t>
      </w:r>
    </w:p>
    <w:p w14:paraId="69AFA2A7" w14:textId="6A907340" w:rsidR="00767AB5" w:rsidRDefault="00767AB5" w:rsidP="00767AB5">
      <w:pPr>
        <w:pStyle w:val="head6"/>
      </w:pPr>
      <w:r>
        <w:t>Potential Additional Functions</w:t>
      </w:r>
    </w:p>
    <w:p w14:paraId="11FFD88E" w14:textId="77777777" w:rsidR="00767AB5" w:rsidRPr="00F044EA" w:rsidRDefault="00767AB5" w:rsidP="00767AB5">
      <w:pPr>
        <w:pBdr>
          <w:top w:val="nil"/>
          <w:left w:val="nil"/>
          <w:bottom w:val="nil"/>
          <w:right w:val="nil"/>
          <w:between w:val="nil"/>
        </w:pBdr>
        <w:spacing w:line="360" w:lineRule="auto"/>
        <w:ind w:firstLine="720"/>
        <w:jc w:val="both"/>
        <w:rPr>
          <w:rFonts w:ascii="Avenir Book" w:hAnsi="Avenir Book"/>
          <w:color w:val="000000"/>
        </w:rPr>
      </w:pPr>
      <w:r w:rsidRPr="00F044EA">
        <w:rPr>
          <w:rFonts w:ascii="Avenir Book" w:hAnsi="Avenir Book"/>
          <w:color w:val="000000"/>
        </w:rPr>
        <w:t>Montgomery County currently has no oversight system in place to assist the office in implementing national public defense standards.</w:t>
      </w:r>
      <w:r w:rsidRPr="00F044EA">
        <w:rPr>
          <w:rFonts w:ascii="Avenir Book" w:hAnsi="Avenir Book"/>
          <w:color w:val="000000"/>
          <w:vertAlign w:val="superscript"/>
        </w:rPr>
        <w:endnoteReference w:id="399"/>
      </w:r>
      <w:r w:rsidRPr="00F044EA">
        <w:rPr>
          <w:rFonts w:ascii="Avenir Book" w:hAnsi="Avenir Book"/>
          <w:color w:val="000000"/>
        </w:rPr>
        <w:t xml:space="preserve"> The Oversight Board could fill that gap, providing public defenders with the support necessary to adopt such standards and monitor compliance. The Commission may choose to give the Oversight Board some control over funding (or “bonus” funding) in order to incentivize compliance with national standards for public defense.</w:t>
      </w:r>
    </w:p>
    <w:p w14:paraId="5718B39E" w14:textId="575EC742" w:rsidR="00767AB5" w:rsidRPr="00F044EA" w:rsidRDefault="00767AB5" w:rsidP="00373577">
      <w:pPr>
        <w:pBdr>
          <w:top w:val="nil"/>
          <w:left w:val="nil"/>
          <w:bottom w:val="nil"/>
          <w:right w:val="nil"/>
          <w:between w:val="nil"/>
        </w:pBdr>
        <w:spacing w:line="360" w:lineRule="auto"/>
        <w:ind w:firstLine="720"/>
        <w:jc w:val="both"/>
        <w:rPr>
          <w:rFonts w:ascii="Avenir Book" w:hAnsi="Avenir Book"/>
          <w:color w:val="000000"/>
        </w:rPr>
      </w:pPr>
      <w:r w:rsidRPr="00F044EA">
        <w:rPr>
          <w:rFonts w:ascii="Avenir Book" w:hAnsi="Avenir Book"/>
          <w:color w:val="000000"/>
        </w:rPr>
        <w:lastRenderedPageBreak/>
        <w:t>As well, the Oversight Board could serve as a resource hub and informational clearinghouse for all attorneys in the county who have an indigent defense practice.   This could help ensure that all attorneys representing indigent clients meet the same practice standards and provide the same high-level of representation that defendants receive from the Public Defender.</w:t>
      </w:r>
    </w:p>
    <w:p w14:paraId="5AD98E92" w14:textId="77777777" w:rsidR="00540B47" w:rsidRDefault="00540B47" w:rsidP="00F16970">
      <w:pPr>
        <w:spacing w:line="480" w:lineRule="auto"/>
        <w:rPr>
          <w:i/>
          <w:color w:val="000000"/>
        </w:rPr>
      </w:pPr>
    </w:p>
    <w:p w14:paraId="5783193C" w14:textId="11D03ABD" w:rsidR="00540B47" w:rsidRPr="00DC5557" w:rsidRDefault="00DC5557" w:rsidP="00DC5557">
      <w:pPr>
        <w:spacing w:line="276" w:lineRule="auto"/>
        <w:rPr>
          <w:rFonts w:ascii="Avenir Black" w:hAnsi="Avenir Black"/>
          <w:b/>
          <w:bCs/>
          <w:color w:val="000000"/>
          <w:sz w:val="26"/>
          <w:szCs w:val="26"/>
        </w:rPr>
      </w:pPr>
      <w:r w:rsidRPr="00DC5557">
        <w:rPr>
          <w:rFonts w:ascii="Avenir Black" w:hAnsi="Avenir Black"/>
          <w:b/>
          <w:bCs/>
          <w:color w:val="000000"/>
          <w:sz w:val="26"/>
          <w:szCs w:val="26"/>
        </w:rPr>
        <w:t xml:space="preserve">We Recommend </w:t>
      </w:r>
      <w:r>
        <w:rPr>
          <w:rFonts w:ascii="Avenir Black" w:hAnsi="Avenir Black"/>
          <w:b/>
          <w:bCs/>
          <w:color w:val="000000"/>
          <w:sz w:val="26"/>
          <w:szCs w:val="26"/>
        </w:rPr>
        <w:t>t</w:t>
      </w:r>
      <w:r w:rsidRPr="00DC5557">
        <w:rPr>
          <w:rFonts w:ascii="Avenir Black" w:hAnsi="Avenir Black"/>
          <w:b/>
          <w:bCs/>
          <w:color w:val="000000"/>
          <w:sz w:val="26"/>
          <w:szCs w:val="26"/>
        </w:rPr>
        <w:t xml:space="preserve">hat </w:t>
      </w:r>
      <w:r>
        <w:rPr>
          <w:rFonts w:ascii="Avenir Black" w:hAnsi="Avenir Black"/>
          <w:b/>
          <w:bCs/>
          <w:color w:val="000000"/>
          <w:sz w:val="26"/>
          <w:szCs w:val="26"/>
        </w:rPr>
        <w:t>t</w:t>
      </w:r>
      <w:r w:rsidRPr="00DC5557">
        <w:rPr>
          <w:rFonts w:ascii="Avenir Black" w:hAnsi="Avenir Black"/>
          <w:b/>
          <w:bCs/>
          <w:color w:val="000000"/>
          <w:sz w:val="26"/>
          <w:szCs w:val="26"/>
        </w:rPr>
        <w:t xml:space="preserve">he Public Defender’s Office Hire </w:t>
      </w:r>
      <w:r>
        <w:rPr>
          <w:rFonts w:ascii="Avenir Black" w:hAnsi="Avenir Black"/>
          <w:b/>
          <w:bCs/>
          <w:color w:val="000000"/>
          <w:sz w:val="26"/>
          <w:szCs w:val="26"/>
        </w:rPr>
        <w:t>a</w:t>
      </w:r>
      <w:r w:rsidRPr="00DC5557">
        <w:rPr>
          <w:rFonts w:ascii="Avenir Black" w:hAnsi="Avenir Black"/>
          <w:b/>
          <w:bCs/>
          <w:color w:val="000000"/>
          <w:sz w:val="26"/>
          <w:szCs w:val="26"/>
        </w:rPr>
        <w:t xml:space="preserve"> Dedicated Human Resources Professional</w:t>
      </w:r>
    </w:p>
    <w:p w14:paraId="58AF4060" w14:textId="183340F0" w:rsidR="00540B47" w:rsidRPr="00DC5557" w:rsidRDefault="00746166" w:rsidP="00DC5557">
      <w:pPr>
        <w:pBdr>
          <w:top w:val="nil"/>
          <w:left w:val="nil"/>
          <w:bottom w:val="nil"/>
          <w:right w:val="nil"/>
          <w:between w:val="nil"/>
        </w:pBdr>
        <w:spacing w:line="360" w:lineRule="auto"/>
        <w:ind w:firstLine="720"/>
        <w:jc w:val="both"/>
        <w:rPr>
          <w:rFonts w:ascii="Avenir Book" w:hAnsi="Avenir Book"/>
        </w:rPr>
      </w:pPr>
      <w:r w:rsidRPr="00DC5557">
        <w:rPr>
          <w:rFonts w:ascii="Avenir Book" w:hAnsi="Avenir Book"/>
          <w:color w:val="000000"/>
        </w:rPr>
        <w:t xml:space="preserve">A dedicated Human Resources professional is an important internal structural contribution to the independence of the office, in that it will relieve the County from involvement in internal office issues. A human resources </w:t>
      </w:r>
      <w:r w:rsidR="00A76356">
        <w:rPr>
          <w:rFonts w:ascii="Avenir Book" w:hAnsi="Avenir Book"/>
          <w:color w:val="000000"/>
        </w:rPr>
        <w:t>professional</w:t>
      </w:r>
      <w:r w:rsidRPr="00DC5557">
        <w:rPr>
          <w:rFonts w:ascii="Avenir Book" w:hAnsi="Avenir Book"/>
          <w:color w:val="000000"/>
        </w:rPr>
        <w:t xml:space="preserve"> can also play a key role in disseminating internal office policies; monitoring compliance with workload limits; coordinating performance reviews; and organizing onboarding and ongoing training efforts.  In these ways, a dedicated human resources </w:t>
      </w:r>
      <w:r w:rsidR="00A76356">
        <w:rPr>
          <w:rFonts w:ascii="Avenir Book" w:hAnsi="Avenir Book"/>
          <w:color w:val="000000"/>
        </w:rPr>
        <w:t>professional</w:t>
      </w:r>
      <w:r w:rsidRPr="00DC5557">
        <w:rPr>
          <w:rFonts w:ascii="Avenir Book" w:hAnsi="Avenir Book"/>
          <w:color w:val="000000"/>
        </w:rPr>
        <w:t xml:space="preserve"> is critical to effectuating some of the risk mitigation strategies we recommend below.</w:t>
      </w:r>
      <w:r w:rsidR="00AC5BA6" w:rsidRPr="00DC5557">
        <w:rPr>
          <w:rFonts w:ascii="Avenir Book" w:hAnsi="Avenir Book"/>
          <w:color w:val="000000"/>
        </w:rPr>
        <w:t xml:space="preserve"> </w:t>
      </w:r>
      <w:r w:rsidR="00AC5BA6" w:rsidRPr="00DC5557">
        <w:rPr>
          <w:rFonts w:ascii="Avenir Book" w:hAnsi="Avenir Book"/>
        </w:rPr>
        <w:t xml:space="preserve">We also recommend that the human resources </w:t>
      </w:r>
      <w:r w:rsidR="00A76356">
        <w:rPr>
          <w:rFonts w:ascii="Avenir Book" w:hAnsi="Avenir Book"/>
        </w:rPr>
        <w:t>professional</w:t>
      </w:r>
      <w:r w:rsidR="00AC5BA6" w:rsidRPr="00DC5557">
        <w:rPr>
          <w:rFonts w:ascii="Avenir Book" w:hAnsi="Avenir Book"/>
        </w:rPr>
        <w:t xml:space="preserve"> create and disseminate a human resources policy that creates a clear reporting structure for HR complaints.</w:t>
      </w:r>
    </w:p>
    <w:p w14:paraId="5AEDB5F5" w14:textId="77777777" w:rsidR="00540B47" w:rsidRPr="00DE4554" w:rsidRDefault="00540B47" w:rsidP="00F16970">
      <w:pPr>
        <w:spacing w:line="480" w:lineRule="auto"/>
        <w:rPr>
          <w:iCs/>
          <w:color w:val="000000"/>
        </w:rPr>
      </w:pPr>
    </w:p>
    <w:p w14:paraId="2D6DFCCE" w14:textId="063D4059" w:rsidR="00F16970" w:rsidRPr="00DC5557" w:rsidRDefault="00DC5557" w:rsidP="00DC5557">
      <w:pPr>
        <w:spacing w:line="276" w:lineRule="auto"/>
        <w:rPr>
          <w:rFonts w:ascii="Avenir Black" w:hAnsi="Avenir Black"/>
          <w:b/>
          <w:bCs/>
          <w:sz w:val="26"/>
          <w:szCs w:val="26"/>
        </w:rPr>
      </w:pPr>
      <w:r w:rsidRPr="00DC5557">
        <w:rPr>
          <w:rFonts w:ascii="Avenir Black" w:hAnsi="Avenir Black"/>
          <w:b/>
          <w:bCs/>
          <w:color w:val="000000"/>
          <w:sz w:val="26"/>
          <w:szCs w:val="26"/>
        </w:rPr>
        <w:t xml:space="preserve">We Recommend </w:t>
      </w:r>
      <w:r w:rsidR="00A41502">
        <w:rPr>
          <w:rFonts w:ascii="Avenir Black" w:hAnsi="Avenir Black"/>
          <w:b/>
          <w:bCs/>
          <w:color w:val="000000"/>
          <w:sz w:val="26"/>
          <w:szCs w:val="26"/>
        </w:rPr>
        <w:t>t</w:t>
      </w:r>
      <w:r w:rsidRPr="00DC5557">
        <w:rPr>
          <w:rFonts w:ascii="Avenir Black" w:hAnsi="Avenir Black"/>
          <w:b/>
          <w:bCs/>
          <w:color w:val="000000"/>
          <w:sz w:val="26"/>
          <w:szCs w:val="26"/>
        </w:rPr>
        <w:t xml:space="preserve">hat </w:t>
      </w:r>
      <w:r w:rsidR="00EA3D8B">
        <w:rPr>
          <w:rFonts w:ascii="Avenir Black" w:hAnsi="Avenir Black"/>
          <w:b/>
          <w:bCs/>
          <w:color w:val="000000"/>
          <w:sz w:val="26"/>
          <w:szCs w:val="26"/>
        </w:rPr>
        <w:t>t</w:t>
      </w:r>
      <w:r w:rsidRPr="00DC5557">
        <w:rPr>
          <w:rFonts w:ascii="Avenir Black" w:hAnsi="Avenir Black"/>
          <w:b/>
          <w:bCs/>
          <w:color w:val="000000"/>
          <w:sz w:val="26"/>
          <w:szCs w:val="26"/>
        </w:rPr>
        <w:t xml:space="preserve">he Public Defender’s Office Reassess </w:t>
      </w:r>
      <w:r w:rsidR="00EA3D8B">
        <w:rPr>
          <w:rFonts w:ascii="Avenir Black" w:hAnsi="Avenir Black"/>
          <w:b/>
          <w:bCs/>
          <w:color w:val="000000"/>
          <w:sz w:val="26"/>
          <w:szCs w:val="26"/>
        </w:rPr>
        <w:t>i</w:t>
      </w:r>
      <w:r w:rsidRPr="00DC5557">
        <w:rPr>
          <w:rFonts w:ascii="Avenir Black" w:hAnsi="Avenir Black"/>
          <w:b/>
          <w:bCs/>
          <w:color w:val="000000"/>
          <w:sz w:val="26"/>
          <w:szCs w:val="26"/>
        </w:rPr>
        <w:t xml:space="preserve">ts Use </w:t>
      </w:r>
      <w:r w:rsidR="00EA3D8B">
        <w:rPr>
          <w:rFonts w:ascii="Avenir Black" w:hAnsi="Avenir Black"/>
          <w:b/>
          <w:bCs/>
          <w:color w:val="000000"/>
          <w:sz w:val="26"/>
          <w:szCs w:val="26"/>
        </w:rPr>
        <w:t>o</w:t>
      </w:r>
      <w:r w:rsidRPr="00DC5557">
        <w:rPr>
          <w:rFonts w:ascii="Avenir Black" w:hAnsi="Avenir Black"/>
          <w:b/>
          <w:bCs/>
          <w:color w:val="000000"/>
          <w:sz w:val="26"/>
          <w:szCs w:val="26"/>
        </w:rPr>
        <w:t xml:space="preserve">f </w:t>
      </w:r>
      <w:r w:rsidR="00EA3D8B">
        <w:rPr>
          <w:rFonts w:ascii="Avenir Black" w:hAnsi="Avenir Black"/>
          <w:b/>
          <w:bCs/>
          <w:color w:val="000000"/>
          <w:sz w:val="26"/>
          <w:szCs w:val="26"/>
        </w:rPr>
        <w:t>t</w:t>
      </w:r>
      <w:r w:rsidRPr="00DC5557">
        <w:rPr>
          <w:rFonts w:ascii="Avenir Black" w:hAnsi="Avenir Black"/>
          <w:b/>
          <w:bCs/>
          <w:color w:val="000000"/>
          <w:sz w:val="26"/>
          <w:szCs w:val="26"/>
        </w:rPr>
        <w:t>he Courtroom-Based Assignment System</w:t>
      </w:r>
    </w:p>
    <w:p w14:paraId="5C6BC03B" w14:textId="16391F27" w:rsidR="000F6C1C" w:rsidRPr="00DC5557" w:rsidRDefault="00746166" w:rsidP="000A1D60">
      <w:pPr>
        <w:spacing w:line="360" w:lineRule="auto"/>
        <w:ind w:firstLine="720"/>
        <w:jc w:val="both"/>
        <w:rPr>
          <w:rFonts w:ascii="Avenir Book" w:hAnsi="Avenir Book"/>
          <w:i/>
        </w:rPr>
      </w:pPr>
      <w:r w:rsidRPr="00DC5557">
        <w:rPr>
          <w:rFonts w:ascii="Avenir Book" w:hAnsi="Avenir Book"/>
        </w:rPr>
        <w:t xml:space="preserve">Courtroom-based case assignment can threaten to calcify courtroom roles, practices, and customs, in a way that may unintentionally limit an attorney’s ability to zealously represent their client. In particular, a defense attorney may hesitate to take positions or actions that risk angering a judge before whom the attorney appears in all </w:t>
      </w:r>
      <w:r w:rsidR="00CE6AEB">
        <w:rPr>
          <w:rFonts w:ascii="Avenir Book" w:hAnsi="Avenir Book"/>
        </w:rPr>
        <w:t>of their</w:t>
      </w:r>
      <w:r w:rsidRPr="00DC5557">
        <w:rPr>
          <w:rFonts w:ascii="Avenir Book" w:hAnsi="Avenir Book"/>
        </w:rPr>
        <w:t xml:space="preserve"> other cases. We therefore recommend the Office undertake an assessment of its assignment system, and consider alternatives including but not limited to </w:t>
      </w:r>
      <w:r w:rsidR="00AC5BA6" w:rsidRPr="00DC5557">
        <w:rPr>
          <w:rFonts w:ascii="Avenir Book" w:hAnsi="Avenir Book"/>
        </w:rPr>
        <w:t xml:space="preserve">shorter </w:t>
      </w:r>
      <w:r w:rsidR="00AC5BA6" w:rsidRPr="00DC5557">
        <w:rPr>
          <w:rFonts w:ascii="Avenir Book" w:hAnsi="Avenir Book"/>
        </w:rPr>
        <w:lastRenderedPageBreak/>
        <w:t xml:space="preserve">courtroom assignment terms, or </w:t>
      </w:r>
      <w:r w:rsidRPr="00DC5557">
        <w:rPr>
          <w:rFonts w:ascii="Avenir Book" w:hAnsi="Avenir Book"/>
        </w:rPr>
        <w:t>assignment by subject specialization, seniority, professional development needs</w:t>
      </w:r>
      <w:r w:rsidR="000A1D60">
        <w:rPr>
          <w:rFonts w:ascii="Avenir Book" w:hAnsi="Avenir Book"/>
        </w:rPr>
        <w:t>,</w:t>
      </w:r>
      <w:r w:rsidRPr="00DC5557">
        <w:rPr>
          <w:rFonts w:ascii="Avenir Book" w:hAnsi="Avenir Book"/>
        </w:rPr>
        <w:t xml:space="preserve"> or some combination of these or other approaches.</w:t>
      </w:r>
    </w:p>
    <w:p w14:paraId="5E359143" w14:textId="1C122ECD" w:rsidR="00DC5557" w:rsidRDefault="00DC5557" w:rsidP="00DC5557">
      <w:bookmarkStart w:id="49" w:name="_Toc62730404"/>
    </w:p>
    <w:p w14:paraId="009A20C1" w14:textId="77777777" w:rsidR="000A1D60" w:rsidRDefault="000A1D60" w:rsidP="00DC5557"/>
    <w:p w14:paraId="0D4F6CC1" w14:textId="77777777" w:rsidR="00DC5557" w:rsidRPr="00DC5557" w:rsidRDefault="00DC5557" w:rsidP="00DC5557"/>
    <w:p w14:paraId="094D4873" w14:textId="42FA7DB9" w:rsidR="000F6C1C" w:rsidRDefault="000F6C1C" w:rsidP="000A1D60">
      <w:pPr>
        <w:pStyle w:val="HEAD2"/>
        <w:adjustRightInd w:val="0"/>
        <w:snapToGrid w:val="0"/>
      </w:pPr>
      <w:r>
        <w:t>FUNDING</w:t>
      </w:r>
      <w:r w:rsidR="0002293D">
        <w:t xml:space="preserve"> </w:t>
      </w:r>
      <w:r w:rsidR="009E5F25">
        <w:t>CONSIDERATIONS</w:t>
      </w:r>
      <w:bookmarkEnd w:id="49"/>
    </w:p>
    <w:p w14:paraId="53C5C416" w14:textId="77777777" w:rsidR="000A1D60" w:rsidRPr="000A1D60" w:rsidRDefault="000A1D60" w:rsidP="00DC5557">
      <w:pPr>
        <w:spacing w:line="276" w:lineRule="auto"/>
        <w:rPr>
          <w:rFonts w:ascii="Avenir Black" w:hAnsi="Avenir Black"/>
          <w:b/>
          <w:bCs/>
          <w:color w:val="000000"/>
          <w:sz w:val="10"/>
          <w:szCs w:val="10"/>
        </w:rPr>
      </w:pPr>
    </w:p>
    <w:p w14:paraId="74E10A36" w14:textId="433B44A8" w:rsidR="000F6C1C" w:rsidRPr="00DC5557" w:rsidRDefault="00DC5557" w:rsidP="00DC5557">
      <w:pPr>
        <w:spacing w:line="276" w:lineRule="auto"/>
        <w:rPr>
          <w:rFonts w:ascii="Avenir Black" w:hAnsi="Avenir Black"/>
          <w:b/>
          <w:bCs/>
          <w:color w:val="000000"/>
          <w:sz w:val="26"/>
          <w:szCs w:val="26"/>
        </w:rPr>
      </w:pPr>
      <w:r w:rsidRPr="00DC5557">
        <w:rPr>
          <w:rFonts w:ascii="Avenir Black" w:hAnsi="Avenir Black"/>
          <w:b/>
          <w:bCs/>
          <w:color w:val="000000"/>
          <w:sz w:val="26"/>
          <w:szCs w:val="26"/>
        </w:rPr>
        <w:t xml:space="preserve">We Recommend That Montgomery County Continue </w:t>
      </w:r>
      <w:r w:rsidR="00EA3D8B">
        <w:rPr>
          <w:rFonts w:ascii="Avenir Black" w:hAnsi="Avenir Black"/>
          <w:b/>
          <w:bCs/>
          <w:color w:val="000000"/>
          <w:sz w:val="26"/>
          <w:szCs w:val="26"/>
        </w:rPr>
        <w:t>t</w:t>
      </w:r>
      <w:r w:rsidRPr="00DC5557">
        <w:rPr>
          <w:rFonts w:ascii="Avenir Black" w:hAnsi="Avenir Black"/>
          <w:b/>
          <w:bCs/>
          <w:color w:val="000000"/>
          <w:sz w:val="26"/>
          <w:szCs w:val="26"/>
        </w:rPr>
        <w:t xml:space="preserve">o Increase Funding </w:t>
      </w:r>
      <w:r w:rsidR="00EA3D8B">
        <w:rPr>
          <w:rFonts w:ascii="Avenir Black" w:hAnsi="Avenir Black"/>
          <w:b/>
          <w:bCs/>
          <w:color w:val="000000"/>
          <w:sz w:val="26"/>
          <w:szCs w:val="26"/>
        </w:rPr>
        <w:t>t</w:t>
      </w:r>
      <w:r w:rsidRPr="00DC5557">
        <w:rPr>
          <w:rFonts w:ascii="Avenir Black" w:hAnsi="Avenir Black"/>
          <w:b/>
          <w:bCs/>
          <w:color w:val="000000"/>
          <w:sz w:val="26"/>
          <w:szCs w:val="26"/>
        </w:rPr>
        <w:t xml:space="preserve">o </w:t>
      </w:r>
      <w:r w:rsidR="00EA3D8B">
        <w:rPr>
          <w:rFonts w:ascii="Avenir Black" w:hAnsi="Avenir Black"/>
          <w:b/>
          <w:bCs/>
          <w:color w:val="000000"/>
          <w:sz w:val="26"/>
          <w:szCs w:val="26"/>
        </w:rPr>
        <w:t>t</w:t>
      </w:r>
      <w:r w:rsidRPr="00DC5557">
        <w:rPr>
          <w:rFonts w:ascii="Avenir Black" w:hAnsi="Avenir Black"/>
          <w:b/>
          <w:bCs/>
          <w:color w:val="000000"/>
          <w:sz w:val="26"/>
          <w:szCs w:val="26"/>
        </w:rPr>
        <w:t xml:space="preserve">he Office </w:t>
      </w:r>
      <w:r w:rsidR="00EA3D8B">
        <w:rPr>
          <w:rFonts w:ascii="Avenir Black" w:hAnsi="Avenir Black"/>
          <w:b/>
          <w:bCs/>
          <w:color w:val="000000"/>
          <w:sz w:val="26"/>
          <w:szCs w:val="26"/>
        </w:rPr>
        <w:t>t</w:t>
      </w:r>
      <w:r w:rsidRPr="00DC5557">
        <w:rPr>
          <w:rFonts w:ascii="Avenir Black" w:hAnsi="Avenir Black"/>
          <w:b/>
          <w:bCs/>
          <w:color w:val="000000"/>
          <w:sz w:val="26"/>
          <w:szCs w:val="26"/>
        </w:rPr>
        <w:t xml:space="preserve">o Respond </w:t>
      </w:r>
      <w:r w:rsidR="00EA3D8B">
        <w:rPr>
          <w:rFonts w:ascii="Avenir Black" w:hAnsi="Avenir Black"/>
          <w:b/>
          <w:bCs/>
          <w:color w:val="000000"/>
          <w:sz w:val="26"/>
          <w:szCs w:val="26"/>
        </w:rPr>
        <w:t>t</w:t>
      </w:r>
      <w:r w:rsidRPr="00DC5557">
        <w:rPr>
          <w:rFonts w:ascii="Avenir Black" w:hAnsi="Avenir Black"/>
          <w:b/>
          <w:bCs/>
          <w:color w:val="000000"/>
          <w:sz w:val="26"/>
          <w:szCs w:val="26"/>
        </w:rPr>
        <w:t xml:space="preserve">o </w:t>
      </w:r>
      <w:r w:rsidR="00EA3D8B">
        <w:rPr>
          <w:rFonts w:ascii="Avenir Black" w:hAnsi="Avenir Black"/>
          <w:b/>
          <w:bCs/>
          <w:color w:val="000000"/>
          <w:sz w:val="26"/>
          <w:szCs w:val="26"/>
        </w:rPr>
        <w:t>t</w:t>
      </w:r>
      <w:r w:rsidRPr="00DC5557">
        <w:rPr>
          <w:rFonts w:ascii="Avenir Black" w:hAnsi="Avenir Black"/>
          <w:b/>
          <w:bCs/>
          <w:color w:val="000000"/>
          <w:sz w:val="26"/>
          <w:szCs w:val="26"/>
        </w:rPr>
        <w:t xml:space="preserve">he Needs </w:t>
      </w:r>
      <w:r w:rsidR="00EA3D8B">
        <w:rPr>
          <w:rFonts w:ascii="Avenir Black" w:hAnsi="Avenir Black"/>
          <w:b/>
          <w:bCs/>
          <w:color w:val="000000"/>
          <w:sz w:val="26"/>
          <w:szCs w:val="26"/>
        </w:rPr>
        <w:t>o</w:t>
      </w:r>
      <w:r w:rsidRPr="00DC5557">
        <w:rPr>
          <w:rFonts w:ascii="Avenir Black" w:hAnsi="Avenir Black"/>
          <w:b/>
          <w:bCs/>
          <w:color w:val="000000"/>
          <w:sz w:val="26"/>
          <w:szCs w:val="26"/>
        </w:rPr>
        <w:t>f Indigent Defense Provision</w:t>
      </w:r>
    </w:p>
    <w:p w14:paraId="735DD2EE" w14:textId="0EB2CEC6" w:rsidR="000F6C1C" w:rsidRPr="00DC5557" w:rsidRDefault="00EC2CE9" w:rsidP="00F51D76">
      <w:pPr>
        <w:spacing w:line="360" w:lineRule="auto"/>
        <w:ind w:firstLine="720"/>
        <w:jc w:val="both"/>
        <w:rPr>
          <w:rFonts w:ascii="Avenir Book" w:hAnsi="Avenir Book"/>
          <w:color w:val="000000"/>
        </w:rPr>
      </w:pPr>
      <w:r w:rsidRPr="00DC5557">
        <w:rPr>
          <w:rFonts w:ascii="Avenir Book" w:hAnsi="Avenir Book"/>
          <w:color w:val="000000"/>
        </w:rPr>
        <w:t>Over the last decade, Montgomery County has shown a consistent and increasing investment in providing quality indigent defense.</w:t>
      </w:r>
      <w:r w:rsidRPr="00DC5557">
        <w:rPr>
          <w:rStyle w:val="EndnoteReference"/>
          <w:rFonts w:ascii="Avenir Book" w:hAnsi="Avenir Book"/>
          <w:color w:val="000000"/>
        </w:rPr>
        <w:endnoteReference w:id="400"/>
      </w:r>
      <w:r w:rsidRPr="00DC5557">
        <w:rPr>
          <w:rFonts w:ascii="Avenir Book" w:hAnsi="Avenir Book"/>
          <w:color w:val="000000"/>
        </w:rPr>
        <w:t xml:space="preserve">  We recommend that </w:t>
      </w:r>
      <w:r w:rsidR="000F6C1C" w:rsidRPr="00DC5557">
        <w:rPr>
          <w:rFonts w:ascii="Avenir Book" w:hAnsi="Avenir Book"/>
          <w:color w:val="000000"/>
        </w:rPr>
        <w:t>Montgomery County continue to increase funding to the Office of the Public Defender to respond to the needs of indigent defense provision. With continued and consistent increases in funding levels, the Office will be able to continue to hire appropriately; expand the subject area specialties in which the Office has expertise; and continue to increase the Office’s physical resources, an example of which can be seen in the</w:t>
      </w:r>
      <w:r w:rsidR="003E0F4E" w:rsidRPr="00DC5557">
        <w:rPr>
          <w:rFonts w:ascii="Avenir Book" w:hAnsi="Avenir Book"/>
          <w:color w:val="000000"/>
        </w:rPr>
        <w:t xml:space="preserve"> Office’s</w:t>
      </w:r>
      <w:r w:rsidR="000F6C1C" w:rsidRPr="00DC5557">
        <w:rPr>
          <w:rFonts w:ascii="Avenir Book" w:hAnsi="Avenir Book"/>
          <w:color w:val="000000"/>
        </w:rPr>
        <w:t xml:space="preserve"> recent acquisition of dedicated A/V technology, which is increasingly becoming more crucial </w:t>
      </w:r>
      <w:r w:rsidR="00444283" w:rsidRPr="00DC5557">
        <w:rPr>
          <w:rFonts w:ascii="Avenir Book" w:hAnsi="Avenir Book"/>
          <w:color w:val="000000"/>
        </w:rPr>
        <w:t>to defense work.</w:t>
      </w:r>
    </w:p>
    <w:p w14:paraId="7171F4A9" w14:textId="19AA7EA0" w:rsidR="00444283" w:rsidRPr="00DC5557" w:rsidRDefault="000F6C1C" w:rsidP="00DC5557">
      <w:pPr>
        <w:spacing w:line="360" w:lineRule="auto"/>
        <w:ind w:firstLine="720"/>
        <w:jc w:val="both"/>
        <w:rPr>
          <w:rFonts w:ascii="Avenir Book" w:hAnsi="Avenir Book"/>
        </w:rPr>
      </w:pPr>
      <w:r w:rsidRPr="00DC5557">
        <w:rPr>
          <w:rFonts w:ascii="Avenir Book" w:hAnsi="Avenir Book"/>
        </w:rPr>
        <w:t xml:space="preserve">Continued increased funding will also allow the Office to increase its training budget so </w:t>
      </w:r>
      <w:r w:rsidR="004219B9" w:rsidRPr="00DC5557">
        <w:rPr>
          <w:rFonts w:ascii="Avenir Book" w:hAnsi="Avenir Book"/>
        </w:rPr>
        <w:t xml:space="preserve">that </w:t>
      </w:r>
      <w:r w:rsidRPr="00DC5557">
        <w:rPr>
          <w:rFonts w:ascii="Avenir Book" w:hAnsi="Avenir Book"/>
        </w:rPr>
        <w:t>the office can provide more comprehensive onboarding</w:t>
      </w:r>
      <w:r w:rsidR="00EF4E80" w:rsidRPr="00DC5557">
        <w:rPr>
          <w:rFonts w:ascii="Avenir Book" w:hAnsi="Avenir Book"/>
        </w:rPr>
        <w:t xml:space="preserve">, </w:t>
      </w:r>
      <w:r w:rsidRPr="00DC5557">
        <w:rPr>
          <w:rFonts w:ascii="Avenir Book" w:hAnsi="Avenir Book"/>
        </w:rPr>
        <w:t>initial</w:t>
      </w:r>
      <w:r w:rsidR="00F51D76">
        <w:rPr>
          <w:rFonts w:ascii="Avenir Book" w:hAnsi="Avenir Book"/>
        </w:rPr>
        <w:t>,</w:t>
      </w:r>
      <w:r w:rsidR="00EF4E80" w:rsidRPr="00DC5557">
        <w:rPr>
          <w:rFonts w:ascii="Avenir Book" w:hAnsi="Avenir Book"/>
        </w:rPr>
        <w:t xml:space="preserve"> and </w:t>
      </w:r>
      <w:r w:rsidRPr="00DC5557">
        <w:rPr>
          <w:rFonts w:ascii="Avenir Book" w:hAnsi="Avenir Book"/>
        </w:rPr>
        <w:t>continued training</w:t>
      </w:r>
      <w:r w:rsidR="00F51D76">
        <w:rPr>
          <w:rFonts w:ascii="Avenir Book" w:hAnsi="Avenir Book"/>
        </w:rPr>
        <w:t xml:space="preserve"> – for attorneys, paraprofessionals, and other staff –</w:t>
      </w:r>
      <w:r w:rsidRPr="00DC5557">
        <w:rPr>
          <w:rFonts w:ascii="Avenir Book" w:hAnsi="Avenir Book"/>
        </w:rPr>
        <w:t xml:space="preserve"> and develop </w:t>
      </w:r>
      <w:r w:rsidR="00444283" w:rsidRPr="00DC5557">
        <w:rPr>
          <w:rFonts w:ascii="Avenir Book" w:hAnsi="Avenir Book"/>
        </w:rPr>
        <w:t>more internal shared resources.</w:t>
      </w:r>
    </w:p>
    <w:p w14:paraId="3BC3EF81" w14:textId="426A54E2" w:rsidR="000F6C1C" w:rsidRPr="00DC5557" w:rsidRDefault="00444283" w:rsidP="00DC5557">
      <w:pPr>
        <w:spacing w:line="360" w:lineRule="auto"/>
        <w:ind w:firstLine="720"/>
        <w:jc w:val="both"/>
        <w:rPr>
          <w:rFonts w:ascii="Avenir Book" w:hAnsi="Avenir Book"/>
        </w:rPr>
      </w:pPr>
      <w:r w:rsidRPr="00DC5557">
        <w:rPr>
          <w:rFonts w:ascii="Avenir Book" w:hAnsi="Avenir Book"/>
        </w:rPr>
        <w:t xml:space="preserve">Dedicating money to help position Montgomery County public defenders to </w:t>
      </w:r>
      <w:r w:rsidR="006805AE" w:rsidRPr="00DC5557">
        <w:rPr>
          <w:rFonts w:ascii="Avenir Book" w:hAnsi="Avenir Book"/>
          <w:iCs/>
        </w:rPr>
        <w:t>provide</w:t>
      </w:r>
      <w:r w:rsidR="006805AE" w:rsidRPr="00DC5557">
        <w:rPr>
          <w:rFonts w:ascii="Avenir Book" w:hAnsi="Avenir Book"/>
        </w:rPr>
        <w:t xml:space="preserve"> </w:t>
      </w:r>
      <w:r w:rsidRPr="00DC5557">
        <w:rPr>
          <w:rFonts w:ascii="Avenir Book" w:hAnsi="Avenir Book"/>
        </w:rPr>
        <w:t>trainings to others can also be an investment in the Office’s future. T</w:t>
      </w:r>
      <w:r w:rsidR="000F6C1C" w:rsidRPr="00DC5557">
        <w:rPr>
          <w:rFonts w:ascii="Avenir Book" w:hAnsi="Avenir Book"/>
        </w:rPr>
        <w:t xml:space="preserve">rainings attended by outside attorneys can be used </w:t>
      </w:r>
      <w:r w:rsidRPr="00DC5557">
        <w:rPr>
          <w:rFonts w:ascii="Avenir Book" w:hAnsi="Avenir Book"/>
        </w:rPr>
        <w:t>by the Office as a revenue stream</w:t>
      </w:r>
      <w:r w:rsidR="000F6C1C" w:rsidRPr="00DC5557">
        <w:rPr>
          <w:rFonts w:ascii="Avenir Book" w:hAnsi="Avenir Book"/>
        </w:rPr>
        <w:t xml:space="preserve">, which can help </w:t>
      </w:r>
      <w:r w:rsidRPr="00DC5557">
        <w:rPr>
          <w:rFonts w:ascii="Avenir Book" w:hAnsi="Avenir Book"/>
        </w:rPr>
        <w:t>defray</w:t>
      </w:r>
      <w:r w:rsidR="000F6C1C" w:rsidRPr="00DC5557">
        <w:rPr>
          <w:rFonts w:ascii="Avenir Book" w:hAnsi="Avenir Book"/>
        </w:rPr>
        <w:t xml:space="preserve"> the cost of sending staff to outside trainings and CLEs.</w:t>
      </w:r>
      <w:r w:rsidR="000F6C1C" w:rsidRPr="00DC5557">
        <w:rPr>
          <w:rFonts w:ascii="Avenir Book" w:hAnsi="Avenir Book"/>
          <w:vertAlign w:val="superscript"/>
        </w:rPr>
        <w:endnoteReference w:id="401"/>
      </w:r>
      <w:r w:rsidRPr="00DC5557">
        <w:rPr>
          <w:rFonts w:ascii="Avenir Book" w:hAnsi="Avenir Book"/>
        </w:rPr>
        <w:t xml:space="preserve"> Training Montgomery County defenders on how to give trainings will </w:t>
      </w:r>
      <w:r w:rsidR="005655B8" w:rsidRPr="00DC5557">
        <w:rPr>
          <w:rFonts w:ascii="Avenir Book" w:hAnsi="Avenir Book"/>
        </w:rPr>
        <w:t>provide a forum for defenders to share their expertise</w:t>
      </w:r>
      <w:r w:rsidR="00005BE6" w:rsidRPr="00DC5557">
        <w:rPr>
          <w:rFonts w:ascii="Avenir Book" w:hAnsi="Avenir Book"/>
        </w:rPr>
        <w:t xml:space="preserve">, boosting office morale and giving an opportunity to </w:t>
      </w:r>
      <w:r w:rsidR="00005BE6" w:rsidRPr="00DC5557">
        <w:rPr>
          <w:rFonts w:ascii="Avenir Book" w:hAnsi="Avenir Book"/>
        </w:rPr>
        <w:lastRenderedPageBreak/>
        <w:t>defenders to be recognized for their expertise in their areas of specialization throughout the state, and potentially nationwide.</w:t>
      </w:r>
    </w:p>
    <w:p w14:paraId="66C8084B" w14:textId="77777777" w:rsidR="000F6C1C" w:rsidRPr="00DC5557" w:rsidRDefault="005655B8" w:rsidP="00DC5557">
      <w:pPr>
        <w:spacing w:line="360" w:lineRule="auto"/>
        <w:ind w:firstLine="720"/>
        <w:jc w:val="both"/>
        <w:rPr>
          <w:rFonts w:ascii="Avenir Book" w:hAnsi="Avenir Book"/>
        </w:rPr>
      </w:pPr>
      <w:r w:rsidRPr="00DC5557">
        <w:rPr>
          <w:rFonts w:ascii="Avenir Book" w:hAnsi="Avenir Book"/>
        </w:rPr>
        <w:t>Finally, i</w:t>
      </w:r>
      <w:r w:rsidR="000F6C1C" w:rsidRPr="00DC5557">
        <w:rPr>
          <w:rFonts w:ascii="Avenir Book" w:hAnsi="Avenir Book"/>
          <w:color w:val="000000"/>
        </w:rPr>
        <w:t xml:space="preserve">ncreased funding </w:t>
      </w:r>
      <w:r w:rsidRPr="00DC5557">
        <w:rPr>
          <w:rFonts w:ascii="Avenir Book" w:hAnsi="Avenir Book"/>
          <w:color w:val="000000"/>
        </w:rPr>
        <w:t>will</w:t>
      </w:r>
      <w:r w:rsidR="000F6C1C" w:rsidRPr="00DC5557">
        <w:rPr>
          <w:rFonts w:ascii="Avenir Book" w:hAnsi="Avenir Book"/>
          <w:color w:val="000000"/>
        </w:rPr>
        <w:t xml:space="preserve"> allow the Office to expand its practice in holistic client representation, consistent with the </w:t>
      </w:r>
      <w:r w:rsidRPr="00DC5557">
        <w:rPr>
          <w:rFonts w:ascii="Avenir Book" w:hAnsi="Avenir Book"/>
          <w:color w:val="000000"/>
        </w:rPr>
        <w:t>national principles, attorney ethical obligations, and the stated preferences of many attorneys within the Office.</w:t>
      </w:r>
    </w:p>
    <w:p w14:paraId="22F31CAF" w14:textId="77777777" w:rsidR="000F6C1C" w:rsidRDefault="000F6C1C" w:rsidP="00D507F8">
      <w:pPr>
        <w:spacing w:line="480" w:lineRule="auto"/>
        <w:ind w:firstLine="720"/>
        <w:rPr>
          <w:color w:val="000000"/>
        </w:rPr>
      </w:pPr>
    </w:p>
    <w:p w14:paraId="130175F6" w14:textId="5BC5DBE1" w:rsidR="000F6C1C" w:rsidRPr="00DC5557" w:rsidRDefault="00DC5557" w:rsidP="00DC5557">
      <w:pPr>
        <w:spacing w:line="276" w:lineRule="auto"/>
        <w:rPr>
          <w:rFonts w:ascii="Avenir Black" w:hAnsi="Avenir Black"/>
          <w:b/>
          <w:bCs/>
          <w:sz w:val="26"/>
          <w:szCs w:val="26"/>
        </w:rPr>
      </w:pPr>
      <w:r w:rsidRPr="00DC5557">
        <w:rPr>
          <w:rFonts w:ascii="Avenir Black" w:hAnsi="Avenir Black"/>
          <w:b/>
          <w:bCs/>
          <w:color w:val="000000"/>
          <w:sz w:val="26"/>
          <w:szCs w:val="26"/>
        </w:rPr>
        <w:t xml:space="preserve">We Recommend That Montgomery County Set </w:t>
      </w:r>
      <w:r w:rsidR="00EA3D8B">
        <w:rPr>
          <w:rFonts w:ascii="Avenir Black" w:hAnsi="Avenir Black"/>
          <w:b/>
          <w:bCs/>
          <w:color w:val="000000"/>
          <w:sz w:val="26"/>
          <w:szCs w:val="26"/>
        </w:rPr>
        <w:t xml:space="preserve">a </w:t>
      </w:r>
      <w:r w:rsidRPr="00DC5557">
        <w:rPr>
          <w:rFonts w:ascii="Avenir Black" w:hAnsi="Avenir Black"/>
          <w:b/>
          <w:bCs/>
          <w:color w:val="000000"/>
          <w:sz w:val="26"/>
          <w:szCs w:val="26"/>
        </w:rPr>
        <w:t xml:space="preserve">Goal </w:t>
      </w:r>
      <w:r w:rsidR="00EA3D8B">
        <w:rPr>
          <w:rFonts w:ascii="Avenir Black" w:hAnsi="Avenir Black"/>
          <w:b/>
          <w:bCs/>
          <w:color w:val="000000"/>
          <w:sz w:val="26"/>
          <w:szCs w:val="26"/>
        </w:rPr>
        <w:t>t</w:t>
      </w:r>
      <w:r w:rsidRPr="00DC5557">
        <w:rPr>
          <w:rFonts w:ascii="Avenir Black" w:hAnsi="Avenir Black"/>
          <w:b/>
          <w:bCs/>
          <w:color w:val="000000"/>
          <w:sz w:val="26"/>
          <w:szCs w:val="26"/>
        </w:rPr>
        <w:t xml:space="preserve">o Achieve Pay </w:t>
      </w:r>
      <w:r w:rsidR="00EA3D8B">
        <w:rPr>
          <w:rFonts w:ascii="Avenir Black" w:hAnsi="Avenir Black"/>
          <w:b/>
          <w:bCs/>
          <w:color w:val="000000"/>
          <w:sz w:val="26"/>
          <w:szCs w:val="26"/>
        </w:rPr>
        <w:t>a</w:t>
      </w:r>
      <w:r w:rsidRPr="00DC5557">
        <w:rPr>
          <w:rFonts w:ascii="Avenir Black" w:hAnsi="Avenir Black"/>
          <w:b/>
          <w:bCs/>
          <w:color w:val="000000"/>
          <w:sz w:val="26"/>
          <w:szCs w:val="26"/>
        </w:rPr>
        <w:t xml:space="preserve">nd Resource Parity Between Defenders </w:t>
      </w:r>
      <w:r w:rsidR="00EA3D8B">
        <w:rPr>
          <w:rFonts w:ascii="Avenir Black" w:hAnsi="Avenir Black"/>
          <w:b/>
          <w:bCs/>
          <w:color w:val="000000"/>
          <w:sz w:val="26"/>
          <w:szCs w:val="26"/>
        </w:rPr>
        <w:t>a</w:t>
      </w:r>
      <w:r w:rsidRPr="00DC5557">
        <w:rPr>
          <w:rFonts w:ascii="Avenir Black" w:hAnsi="Avenir Black"/>
          <w:b/>
          <w:bCs/>
          <w:color w:val="000000"/>
          <w:sz w:val="26"/>
          <w:szCs w:val="26"/>
        </w:rPr>
        <w:t>nd Prosecutors</w:t>
      </w:r>
    </w:p>
    <w:p w14:paraId="43D7AD3C" w14:textId="77777777" w:rsidR="00F51D76" w:rsidRDefault="00F51D76" w:rsidP="00DC5557">
      <w:pPr>
        <w:spacing w:line="360" w:lineRule="auto"/>
        <w:ind w:firstLine="720"/>
        <w:jc w:val="both"/>
        <w:rPr>
          <w:rFonts w:ascii="Avenir Book" w:hAnsi="Avenir Book"/>
        </w:rPr>
      </w:pPr>
      <w:r>
        <w:rPr>
          <w:rFonts w:ascii="Avenir Book" w:hAnsi="Avenir Book"/>
        </w:rPr>
        <w:t>Because i</w:t>
      </w:r>
      <w:r w:rsidR="00CB685B" w:rsidRPr="00DC5557">
        <w:rPr>
          <w:rFonts w:ascii="Avenir Book" w:hAnsi="Avenir Book"/>
        </w:rPr>
        <w:t xml:space="preserve">ndigent defense and prosecution require “broadly similar skills,” </w:t>
      </w:r>
      <w:r>
        <w:rPr>
          <w:rFonts w:ascii="Avenir Book" w:hAnsi="Avenir Book"/>
        </w:rPr>
        <w:t>significant</w:t>
      </w:r>
      <w:r w:rsidR="00CB685B" w:rsidRPr="00DC5557">
        <w:rPr>
          <w:rFonts w:ascii="Avenir Book" w:hAnsi="Avenir Book"/>
        </w:rPr>
        <w:t xml:space="preserve"> disparities in pay between defenders and prosecutors</w:t>
      </w:r>
      <w:r>
        <w:rPr>
          <w:rFonts w:ascii="Avenir Book" w:hAnsi="Avenir Book"/>
        </w:rPr>
        <w:t xml:space="preserve"> should be scrutinized</w:t>
      </w:r>
      <w:r w:rsidR="00CB685B" w:rsidRPr="00DC5557">
        <w:rPr>
          <w:rFonts w:ascii="Avenir Book" w:hAnsi="Avenir Book"/>
        </w:rPr>
        <w:t>.</w:t>
      </w:r>
      <w:r w:rsidR="00CB685B" w:rsidRPr="00DC5557">
        <w:rPr>
          <w:rStyle w:val="EndnoteReference"/>
          <w:rFonts w:ascii="Avenir Book" w:hAnsi="Avenir Book"/>
        </w:rPr>
        <w:endnoteReference w:id="402"/>
      </w:r>
      <w:r w:rsidR="00CB685B" w:rsidRPr="00DC5557">
        <w:rPr>
          <w:rFonts w:ascii="Avenir Book" w:hAnsi="Avenir Book"/>
        </w:rPr>
        <w:t xml:space="preserve"> The County clearly appreciates this; i</w:t>
      </w:r>
      <w:r w:rsidR="000F6C1C" w:rsidRPr="00DC5557">
        <w:rPr>
          <w:rFonts w:ascii="Avenir Book" w:hAnsi="Avenir Book"/>
        </w:rPr>
        <w:t xml:space="preserve">n recent years, </w:t>
      </w:r>
      <w:r w:rsidR="00CB685B" w:rsidRPr="00DC5557">
        <w:rPr>
          <w:rFonts w:ascii="Avenir Book" w:hAnsi="Avenir Book"/>
        </w:rPr>
        <w:t>it</w:t>
      </w:r>
      <w:r w:rsidR="000F6C1C" w:rsidRPr="00DC5557">
        <w:rPr>
          <w:rFonts w:ascii="Avenir Book" w:hAnsi="Avenir Book"/>
        </w:rPr>
        <w:t xml:space="preserve"> has made strides to address the issue of pay parity by partaking in a salary study and instituting pay increases for all attorneys.</w:t>
      </w:r>
      <w:r w:rsidR="008C68FD" w:rsidRPr="00DC5557">
        <w:rPr>
          <w:rFonts w:ascii="Avenir Book" w:hAnsi="Avenir Book"/>
        </w:rPr>
        <w:t xml:space="preserve"> In particular, it has committed to starting salary pay parity.</w:t>
      </w:r>
      <w:r w:rsidR="000F6C1C" w:rsidRPr="00DC5557">
        <w:rPr>
          <w:rFonts w:ascii="Avenir Book" w:hAnsi="Avenir Book"/>
        </w:rPr>
        <w:t xml:space="preserve"> </w:t>
      </w:r>
    </w:p>
    <w:p w14:paraId="36C99EB1" w14:textId="0FB8E937" w:rsidR="00CB685B" w:rsidRPr="00DC5557" w:rsidRDefault="00CB685B" w:rsidP="00DC5557">
      <w:pPr>
        <w:spacing w:line="360" w:lineRule="auto"/>
        <w:ind w:firstLine="720"/>
        <w:jc w:val="both"/>
        <w:rPr>
          <w:rFonts w:ascii="Avenir Book" w:hAnsi="Avenir Book"/>
        </w:rPr>
      </w:pPr>
      <w:r w:rsidRPr="00DC5557">
        <w:rPr>
          <w:rFonts w:ascii="Avenir Book" w:hAnsi="Avenir Book"/>
        </w:rPr>
        <w:t>We recommend that the Board continue to address the issue of pay parity, perhaps annually, as it applies for middle and senior rank attorneys at the Office of the Public Defender. Current attorneys should receive pay increases based on clear, and clearly-communicated, promotion standards. Greater financial incentives and upward pay mobility are essential to acquire and retain attorneys</w:t>
      </w:r>
      <w:r w:rsidR="00F51D76">
        <w:rPr>
          <w:rFonts w:ascii="Avenir Book" w:hAnsi="Avenir Book"/>
        </w:rPr>
        <w:t xml:space="preserve"> long-term</w:t>
      </w:r>
      <w:r w:rsidRPr="00DC5557">
        <w:rPr>
          <w:rFonts w:ascii="Avenir Book" w:hAnsi="Avenir Book"/>
        </w:rPr>
        <w:t>.</w:t>
      </w:r>
    </w:p>
    <w:p w14:paraId="3A172720" w14:textId="078C49EA" w:rsidR="000F6C1C" w:rsidRPr="00DC5557" w:rsidRDefault="00CB685B" w:rsidP="00DC5557">
      <w:pPr>
        <w:spacing w:line="360" w:lineRule="auto"/>
        <w:ind w:firstLine="720"/>
        <w:jc w:val="both"/>
        <w:rPr>
          <w:rFonts w:ascii="Avenir Book" w:hAnsi="Avenir Book"/>
        </w:rPr>
      </w:pPr>
      <w:r w:rsidRPr="00DC5557">
        <w:rPr>
          <w:rFonts w:ascii="Avenir Book" w:hAnsi="Avenir Book"/>
        </w:rPr>
        <w:t>Resource parity remains a potential issue. A</w:t>
      </w:r>
      <w:r w:rsidR="000F6C1C" w:rsidRPr="00DC5557">
        <w:rPr>
          <w:rFonts w:ascii="Avenir Book" w:hAnsi="Avenir Book"/>
          <w:color w:val="000000"/>
        </w:rPr>
        <w:t>s of 2020, the Montgomery County District Attorney’s Office had a budget more than 300% higher than the budget of the Montgomery County Office of the Public Defender.</w:t>
      </w:r>
      <w:r w:rsidR="000F6C1C" w:rsidRPr="00DC5557">
        <w:rPr>
          <w:rFonts w:ascii="Avenir Book" w:hAnsi="Avenir Book"/>
        </w:rPr>
        <w:t xml:space="preserve"> While there is not an exact match between the work </w:t>
      </w:r>
      <w:r w:rsidR="007469B9" w:rsidRPr="00DC5557">
        <w:rPr>
          <w:rFonts w:ascii="Avenir Book" w:hAnsi="Avenir Book"/>
        </w:rPr>
        <w:t>performed</w:t>
      </w:r>
      <w:r w:rsidR="000F6C1C" w:rsidRPr="00DC5557">
        <w:rPr>
          <w:rFonts w:ascii="Avenir Book" w:hAnsi="Avenir Book"/>
        </w:rPr>
        <w:t xml:space="preserve"> by public defenders and prosecutors, this </w:t>
      </w:r>
      <w:r w:rsidRPr="00DC5557">
        <w:rPr>
          <w:rFonts w:ascii="Avenir Book" w:hAnsi="Avenir Book"/>
        </w:rPr>
        <w:t xml:space="preserve">funding </w:t>
      </w:r>
      <w:r w:rsidR="007469B9" w:rsidRPr="00DC5557">
        <w:rPr>
          <w:rFonts w:ascii="Avenir Book" w:hAnsi="Avenir Book"/>
        </w:rPr>
        <w:t>incongruence</w:t>
      </w:r>
      <w:r w:rsidR="000F6C1C" w:rsidRPr="00DC5557">
        <w:rPr>
          <w:rFonts w:ascii="Avenir Book" w:hAnsi="Avenir Book"/>
        </w:rPr>
        <w:t xml:space="preserve"> </w:t>
      </w:r>
      <w:r w:rsidR="006805AE" w:rsidRPr="00DC5557">
        <w:rPr>
          <w:rFonts w:ascii="Avenir Book" w:hAnsi="Avenir Book"/>
        </w:rPr>
        <w:t xml:space="preserve">highlights the need for further </w:t>
      </w:r>
      <w:r w:rsidRPr="00DC5557">
        <w:rPr>
          <w:rFonts w:ascii="Avenir Book" w:hAnsi="Avenir Book"/>
        </w:rPr>
        <w:t>study</w:t>
      </w:r>
      <w:r w:rsidR="007469B9" w:rsidRPr="00DC5557">
        <w:rPr>
          <w:rFonts w:ascii="Avenir Book" w:hAnsi="Avenir Book"/>
        </w:rPr>
        <w:t>.</w:t>
      </w:r>
      <w:r w:rsidRPr="00DC5557">
        <w:rPr>
          <w:rFonts w:ascii="Avenir Book" w:hAnsi="Avenir Book"/>
        </w:rPr>
        <w:t xml:space="preserve"> We recommend the County undertake an assessment of these funding differentials, and come up with clear metrics for evaluating funding parity (for instance, metrics that incorporate workload and expenditure differentials between the two offices).</w:t>
      </w:r>
    </w:p>
    <w:p w14:paraId="16C6B4D7" w14:textId="77777777" w:rsidR="000F6C1C" w:rsidRDefault="000F6C1C" w:rsidP="00D507F8">
      <w:pPr>
        <w:pBdr>
          <w:top w:val="nil"/>
          <w:left w:val="nil"/>
          <w:bottom w:val="nil"/>
          <w:right w:val="nil"/>
          <w:between w:val="nil"/>
        </w:pBdr>
        <w:spacing w:line="480" w:lineRule="auto"/>
      </w:pPr>
    </w:p>
    <w:p w14:paraId="6014537A" w14:textId="77777777" w:rsidR="000F6C1C" w:rsidRPr="00DC5557" w:rsidRDefault="00EC2CE9" w:rsidP="00DC5557">
      <w:pPr>
        <w:pStyle w:val="HEAD2"/>
      </w:pPr>
      <w:bookmarkStart w:id="50" w:name="_Toc62730405"/>
      <w:r w:rsidRPr="00DC5557">
        <w:lastRenderedPageBreak/>
        <w:t>LITIGATION AND RISK MITIGATION</w:t>
      </w:r>
      <w:bookmarkEnd w:id="50"/>
    </w:p>
    <w:p w14:paraId="06D35214" w14:textId="77777777" w:rsidR="00EC2CE9" w:rsidRPr="00AF16D3" w:rsidRDefault="00EC2CE9" w:rsidP="00EC2CE9">
      <w:pPr>
        <w:spacing w:line="480" w:lineRule="auto"/>
        <w:rPr>
          <w:sz w:val="10"/>
          <w:szCs w:val="10"/>
        </w:rPr>
      </w:pPr>
    </w:p>
    <w:p w14:paraId="74008C2C" w14:textId="12657D54" w:rsidR="000F6C1C" w:rsidRPr="00DC5557" w:rsidRDefault="00DC5557" w:rsidP="00DC5557">
      <w:pPr>
        <w:spacing w:line="276" w:lineRule="auto"/>
        <w:rPr>
          <w:rFonts w:ascii="Avenir Black" w:hAnsi="Avenir Black"/>
          <w:b/>
          <w:bCs/>
          <w:sz w:val="26"/>
          <w:szCs w:val="26"/>
        </w:rPr>
      </w:pPr>
      <w:r w:rsidRPr="00DC5557">
        <w:rPr>
          <w:rFonts w:ascii="Avenir Black" w:hAnsi="Avenir Black"/>
          <w:b/>
          <w:bCs/>
          <w:sz w:val="26"/>
          <w:szCs w:val="26"/>
        </w:rPr>
        <w:t xml:space="preserve">We Recommend </w:t>
      </w:r>
      <w:r>
        <w:rPr>
          <w:rFonts w:ascii="Avenir Black" w:hAnsi="Avenir Black"/>
          <w:b/>
          <w:bCs/>
          <w:sz w:val="26"/>
          <w:szCs w:val="26"/>
        </w:rPr>
        <w:t>t</w:t>
      </w:r>
      <w:r w:rsidRPr="00DC5557">
        <w:rPr>
          <w:rFonts w:ascii="Avenir Black" w:hAnsi="Avenir Black"/>
          <w:b/>
          <w:bCs/>
          <w:sz w:val="26"/>
          <w:szCs w:val="26"/>
        </w:rPr>
        <w:t xml:space="preserve">hat </w:t>
      </w:r>
      <w:r>
        <w:rPr>
          <w:rFonts w:ascii="Avenir Black" w:hAnsi="Avenir Black"/>
          <w:b/>
          <w:bCs/>
          <w:sz w:val="26"/>
          <w:szCs w:val="26"/>
        </w:rPr>
        <w:t>t</w:t>
      </w:r>
      <w:r w:rsidRPr="00DC5557">
        <w:rPr>
          <w:rFonts w:ascii="Avenir Black" w:hAnsi="Avenir Black"/>
          <w:b/>
          <w:bCs/>
          <w:sz w:val="26"/>
          <w:szCs w:val="26"/>
        </w:rPr>
        <w:t xml:space="preserve">he Office Create Internal Policy Documents Outlining Expectations, Promotion Standards, </w:t>
      </w:r>
      <w:r>
        <w:rPr>
          <w:rFonts w:ascii="Avenir Black" w:hAnsi="Avenir Black"/>
          <w:b/>
          <w:bCs/>
          <w:sz w:val="26"/>
          <w:szCs w:val="26"/>
        </w:rPr>
        <w:t>a</w:t>
      </w:r>
      <w:r w:rsidRPr="00DC5557">
        <w:rPr>
          <w:rFonts w:ascii="Avenir Black" w:hAnsi="Avenir Black"/>
          <w:b/>
          <w:bCs/>
          <w:sz w:val="26"/>
          <w:szCs w:val="26"/>
        </w:rPr>
        <w:t xml:space="preserve">nd Guidelines </w:t>
      </w:r>
      <w:r>
        <w:rPr>
          <w:rFonts w:ascii="Avenir Black" w:hAnsi="Avenir Black"/>
          <w:b/>
          <w:bCs/>
          <w:sz w:val="26"/>
          <w:szCs w:val="26"/>
        </w:rPr>
        <w:t>o</w:t>
      </w:r>
      <w:r w:rsidRPr="00DC5557">
        <w:rPr>
          <w:rFonts w:ascii="Avenir Black" w:hAnsi="Avenir Black"/>
          <w:b/>
          <w:bCs/>
          <w:sz w:val="26"/>
          <w:szCs w:val="26"/>
        </w:rPr>
        <w:t>n Case Assignment</w:t>
      </w:r>
    </w:p>
    <w:p w14:paraId="540E7C0E" w14:textId="2CC9C370" w:rsidR="000F6C1C" w:rsidRPr="00DC5557" w:rsidRDefault="000F6C1C" w:rsidP="00DC5557">
      <w:pPr>
        <w:spacing w:line="360" w:lineRule="auto"/>
        <w:ind w:firstLine="720"/>
        <w:jc w:val="both"/>
        <w:rPr>
          <w:rFonts w:ascii="Avenir Book" w:hAnsi="Avenir Book"/>
        </w:rPr>
      </w:pPr>
      <w:r w:rsidRPr="00DC5557">
        <w:rPr>
          <w:rFonts w:ascii="Avenir Book" w:hAnsi="Avenir Book"/>
        </w:rPr>
        <w:t>“Vision is an absolute prerequisite to any change in culture.”</w:t>
      </w:r>
      <w:r w:rsidRPr="00DC5557">
        <w:rPr>
          <w:rFonts w:ascii="Avenir Book" w:hAnsi="Avenir Book"/>
          <w:vertAlign w:val="superscript"/>
        </w:rPr>
        <w:endnoteReference w:id="403"/>
      </w:r>
      <w:r w:rsidRPr="00DC5557">
        <w:rPr>
          <w:rFonts w:ascii="Avenir Book" w:hAnsi="Avenir Book"/>
        </w:rPr>
        <w:t xml:space="preserve"> As such, it would be helpful for the Office to clearly set forward the vision and mission of the Office in a policy document that is distributed to all current employees and new hires. Ideally, a mission statement would explicitly include the adoption of both the ABA and NAPD principles, define the Office’s mission regarding individual client representation, </w:t>
      </w:r>
      <w:r w:rsidR="00EF4E80" w:rsidRPr="00DC5557">
        <w:rPr>
          <w:rFonts w:ascii="Avenir Book" w:hAnsi="Avenir Book"/>
        </w:rPr>
        <w:t>and</w:t>
      </w:r>
      <w:r w:rsidRPr="00DC5557">
        <w:rPr>
          <w:rFonts w:ascii="Avenir Book" w:hAnsi="Avenir Book"/>
        </w:rPr>
        <w:t xml:space="preserve"> outlin</w:t>
      </w:r>
      <w:r w:rsidR="00EF4E80" w:rsidRPr="00DC5557">
        <w:rPr>
          <w:rFonts w:ascii="Avenir Book" w:hAnsi="Avenir Book"/>
        </w:rPr>
        <w:t>e</w:t>
      </w:r>
      <w:r w:rsidRPr="00DC5557">
        <w:rPr>
          <w:rFonts w:ascii="Avenir Book" w:hAnsi="Avenir Book"/>
        </w:rPr>
        <w:t xml:space="preserve"> the Office’s position regarding systemic reforms and challenges. </w:t>
      </w:r>
    </w:p>
    <w:p w14:paraId="4AB9F988" w14:textId="695BD965" w:rsidR="000F6C1C" w:rsidRPr="00DC5557" w:rsidRDefault="000F6C1C" w:rsidP="00DC5557">
      <w:pPr>
        <w:spacing w:line="360" w:lineRule="auto"/>
        <w:ind w:firstLine="720"/>
        <w:jc w:val="both"/>
        <w:rPr>
          <w:rFonts w:ascii="Avenir Book" w:hAnsi="Avenir Book"/>
          <w:b/>
          <w:highlight w:val="green"/>
        </w:rPr>
      </w:pPr>
      <w:r w:rsidRPr="00DC5557">
        <w:rPr>
          <w:rFonts w:ascii="Avenir Book" w:hAnsi="Avenir Book"/>
        </w:rPr>
        <w:t xml:space="preserve">While there appear to be many systems in place that influence how the </w:t>
      </w:r>
      <w:r w:rsidR="008D7E1A" w:rsidRPr="00DC5557">
        <w:rPr>
          <w:rFonts w:ascii="Avenir Book" w:hAnsi="Avenir Book"/>
        </w:rPr>
        <w:t>Office</w:t>
      </w:r>
      <w:r w:rsidRPr="00DC5557">
        <w:rPr>
          <w:rFonts w:ascii="Avenir Book" w:hAnsi="Avenir Book"/>
        </w:rPr>
        <w:t xml:space="preserve"> is run, there are few internal documents or memos that memorialize how </w:t>
      </w:r>
      <w:r w:rsidR="00A8055C" w:rsidRPr="00DC5557">
        <w:rPr>
          <w:rFonts w:ascii="Avenir Book" w:hAnsi="Avenir Book"/>
        </w:rPr>
        <w:t xml:space="preserve">these </w:t>
      </w:r>
      <w:r w:rsidRPr="00DC5557">
        <w:rPr>
          <w:rFonts w:ascii="Avenir Book" w:hAnsi="Avenir Book"/>
        </w:rPr>
        <w:t xml:space="preserve">systems work. We recommend that the </w:t>
      </w:r>
      <w:r w:rsidR="00B155C7">
        <w:rPr>
          <w:rFonts w:ascii="Avenir Book" w:hAnsi="Avenir Book"/>
        </w:rPr>
        <w:t>Of</w:t>
      </w:r>
      <w:r w:rsidRPr="00DC5557">
        <w:rPr>
          <w:rFonts w:ascii="Avenir Book" w:hAnsi="Avenir Book"/>
        </w:rPr>
        <w:t xml:space="preserve">fice create more internal documents so that they can formalize and standardize the procedures and systems that are already in place. </w:t>
      </w:r>
      <w:r w:rsidR="008D7E1A" w:rsidRPr="00DC5557">
        <w:rPr>
          <w:rFonts w:ascii="Avenir Book" w:hAnsi="Avenir Book"/>
        </w:rPr>
        <w:t xml:space="preserve">These documents should address, among other topics, the criteria for prioritizing cases and matters; the preferred approach to client representation, the requirements for taking on systemic matters (i.e., non-individual client representation), reporting </w:t>
      </w:r>
      <w:r w:rsidR="00A8055C" w:rsidRPr="00DC5557">
        <w:rPr>
          <w:rFonts w:ascii="Avenir Book" w:hAnsi="Avenir Book"/>
        </w:rPr>
        <w:t>protocols</w:t>
      </w:r>
      <w:r w:rsidR="008D7E1A" w:rsidRPr="00DC5557">
        <w:rPr>
          <w:rFonts w:ascii="Avenir Book" w:hAnsi="Avenir Book"/>
        </w:rPr>
        <w:t xml:space="preserve"> for both HR and professional practice concerns; expectations around client communication; </w:t>
      </w:r>
      <w:r w:rsidR="00DF35A2" w:rsidRPr="00DC5557">
        <w:rPr>
          <w:rFonts w:ascii="Avenir Book" w:hAnsi="Avenir Book"/>
        </w:rPr>
        <w:t>and workload guidelines.</w:t>
      </w:r>
    </w:p>
    <w:p w14:paraId="5BA6A514" w14:textId="45C7A2F6" w:rsidR="000F6C1C" w:rsidRPr="00DC5557" w:rsidRDefault="000F6C1C" w:rsidP="00DC5557">
      <w:pPr>
        <w:spacing w:line="360" w:lineRule="auto"/>
        <w:ind w:firstLine="720"/>
        <w:jc w:val="both"/>
        <w:rPr>
          <w:rFonts w:ascii="Avenir Book" w:hAnsi="Avenir Book"/>
        </w:rPr>
      </w:pPr>
      <w:r w:rsidRPr="00DC5557">
        <w:rPr>
          <w:rFonts w:ascii="Avenir Book" w:hAnsi="Avenir Book"/>
        </w:rPr>
        <w:t xml:space="preserve">We </w:t>
      </w:r>
      <w:r w:rsidR="00E8373F" w:rsidRPr="00DC5557">
        <w:rPr>
          <w:rFonts w:ascii="Avenir Book" w:hAnsi="Avenir Book"/>
        </w:rPr>
        <w:t xml:space="preserve">further </w:t>
      </w:r>
      <w:r w:rsidRPr="00DC5557">
        <w:rPr>
          <w:rFonts w:ascii="Avenir Book" w:hAnsi="Avenir Book"/>
        </w:rPr>
        <w:t>recommend that the Montgomery County Board of Commissioners provide funding for the development of an internal case management system at the Public Defenders’ office. It would be helpful</w:t>
      </w:r>
      <w:r w:rsidR="00E8373F" w:rsidRPr="00DC5557">
        <w:rPr>
          <w:rFonts w:ascii="Avenir Book" w:hAnsi="Avenir Book"/>
        </w:rPr>
        <w:t xml:space="preserve"> to both staff attorneys and supervisors</w:t>
      </w:r>
      <w:r w:rsidR="008C68FD" w:rsidRPr="00DC5557">
        <w:rPr>
          <w:rFonts w:ascii="Avenir Book" w:hAnsi="Avenir Book"/>
        </w:rPr>
        <w:t xml:space="preserve"> to have</w:t>
      </w:r>
      <w:r w:rsidRPr="00DC5557">
        <w:rPr>
          <w:rFonts w:ascii="Avenir Book" w:hAnsi="Avenir Book"/>
        </w:rPr>
        <w:t xml:space="preserve"> a centralized database where attorneys </w:t>
      </w:r>
      <w:r w:rsidR="00540B47" w:rsidRPr="00DC5557">
        <w:rPr>
          <w:rFonts w:ascii="Avenir Book" w:hAnsi="Avenir Book"/>
        </w:rPr>
        <w:t xml:space="preserve">can </w:t>
      </w:r>
      <w:r w:rsidRPr="00DC5557">
        <w:rPr>
          <w:rFonts w:ascii="Avenir Book" w:hAnsi="Avenir Book"/>
        </w:rPr>
        <w:t>upload and find information about their cases, clients and assignments.</w:t>
      </w:r>
      <w:r w:rsidRPr="00DC5557">
        <w:rPr>
          <w:rFonts w:ascii="Avenir Book" w:hAnsi="Avenir Book"/>
          <w:vertAlign w:val="superscript"/>
        </w:rPr>
        <w:endnoteReference w:id="404"/>
      </w:r>
      <w:r w:rsidRPr="00DC5557">
        <w:rPr>
          <w:rFonts w:ascii="Avenir Book" w:hAnsi="Avenir Book"/>
        </w:rPr>
        <w:t xml:space="preserve">  Currently, it appears that attorneys are largely left on their own to figure out how to prioritize assignments and deadlines, and a centralized internal information system could help them organize t</w:t>
      </w:r>
      <w:r w:rsidR="00E8373F" w:rsidRPr="00DC5557">
        <w:rPr>
          <w:rFonts w:ascii="Avenir Book" w:hAnsi="Avenir Book"/>
        </w:rPr>
        <w:t>heir assigned cases to meet their professional responsibilities</w:t>
      </w:r>
      <w:r w:rsidRPr="00DC5557">
        <w:rPr>
          <w:rFonts w:ascii="Avenir Book" w:hAnsi="Avenir Book"/>
        </w:rPr>
        <w:t>.</w:t>
      </w:r>
      <w:r w:rsidRPr="00DC5557">
        <w:rPr>
          <w:rFonts w:ascii="Avenir Book" w:hAnsi="Avenir Book"/>
          <w:vertAlign w:val="superscript"/>
        </w:rPr>
        <w:endnoteReference w:id="405"/>
      </w:r>
    </w:p>
    <w:p w14:paraId="2317E5D5" w14:textId="0DBB7DAE" w:rsidR="000F6C1C" w:rsidRPr="00DC5557" w:rsidRDefault="00DA1797" w:rsidP="00DC5557">
      <w:pPr>
        <w:spacing w:line="360" w:lineRule="auto"/>
        <w:ind w:firstLine="720"/>
        <w:jc w:val="both"/>
        <w:rPr>
          <w:rFonts w:ascii="Avenir Book" w:hAnsi="Avenir Book"/>
        </w:rPr>
      </w:pPr>
      <w:r w:rsidRPr="00DC5557">
        <w:rPr>
          <w:rFonts w:ascii="Avenir Book" w:hAnsi="Avenir Book"/>
        </w:rPr>
        <w:lastRenderedPageBreak/>
        <w:t>In terms of training resources, w</w:t>
      </w:r>
      <w:r w:rsidR="000F6C1C" w:rsidRPr="00DC5557">
        <w:rPr>
          <w:rFonts w:ascii="Avenir Book" w:hAnsi="Avenir Book"/>
        </w:rPr>
        <w:t xml:space="preserve">e recommend that the </w:t>
      </w:r>
      <w:r w:rsidRPr="00DC5557">
        <w:rPr>
          <w:rFonts w:ascii="Avenir Book" w:hAnsi="Avenir Book"/>
        </w:rPr>
        <w:t>Office create</w:t>
      </w:r>
      <w:r w:rsidR="000F6C1C" w:rsidRPr="00DC5557">
        <w:rPr>
          <w:rFonts w:ascii="Avenir Book" w:hAnsi="Avenir Book"/>
        </w:rPr>
        <w:t xml:space="preserve"> an office-wide shared drive for training materials. Public defenders have a large advantage over solo practitioners in that they can rely on the collective office’s wealth of shared knowledge and resources. Instead of attorneys having to conduct their own research, or figure out on their own who to talk to when faced with a problem, we are recommending that the office pool their resources in a more streamlined and organized way. A shared drive would serve as an “educational and resource sharing forum to fill in any gaps in the training” attorneys already have and would be an invaluable resource for the office as a whole.</w:t>
      </w:r>
      <w:r w:rsidR="000F6C1C" w:rsidRPr="00DC5557">
        <w:rPr>
          <w:rFonts w:ascii="Avenir Book" w:hAnsi="Avenir Book"/>
          <w:vertAlign w:val="superscript"/>
        </w:rPr>
        <w:endnoteReference w:id="406"/>
      </w:r>
    </w:p>
    <w:p w14:paraId="66D8CFA1" w14:textId="77777777" w:rsidR="000F6C1C" w:rsidRDefault="000F6C1C" w:rsidP="00EC2CE9">
      <w:pPr>
        <w:spacing w:line="480" w:lineRule="auto"/>
      </w:pPr>
    </w:p>
    <w:p w14:paraId="26A2369F" w14:textId="3E6E49F8" w:rsidR="000F6C1C" w:rsidRPr="00DC5557" w:rsidRDefault="00DC5557" w:rsidP="00DC5557">
      <w:pPr>
        <w:spacing w:line="276" w:lineRule="auto"/>
        <w:rPr>
          <w:rFonts w:ascii="Avenir Black" w:hAnsi="Avenir Black"/>
          <w:b/>
          <w:bCs/>
          <w:sz w:val="26"/>
          <w:szCs w:val="26"/>
        </w:rPr>
      </w:pPr>
      <w:r w:rsidRPr="00DC5557">
        <w:rPr>
          <w:rFonts w:ascii="Avenir Black" w:hAnsi="Avenir Black"/>
          <w:b/>
          <w:bCs/>
          <w:sz w:val="26"/>
          <w:szCs w:val="26"/>
        </w:rPr>
        <w:t xml:space="preserve">We Recommend </w:t>
      </w:r>
      <w:r>
        <w:rPr>
          <w:rFonts w:ascii="Avenir Black" w:hAnsi="Avenir Black"/>
          <w:b/>
          <w:bCs/>
          <w:sz w:val="26"/>
          <w:szCs w:val="26"/>
        </w:rPr>
        <w:t>t</w:t>
      </w:r>
      <w:r w:rsidRPr="00DC5557">
        <w:rPr>
          <w:rFonts w:ascii="Avenir Black" w:hAnsi="Avenir Black"/>
          <w:b/>
          <w:bCs/>
          <w:sz w:val="26"/>
          <w:szCs w:val="26"/>
        </w:rPr>
        <w:t xml:space="preserve">hat Team Leaders </w:t>
      </w:r>
      <w:r>
        <w:rPr>
          <w:rFonts w:ascii="Avenir Black" w:hAnsi="Avenir Black"/>
          <w:b/>
          <w:bCs/>
          <w:sz w:val="26"/>
          <w:szCs w:val="26"/>
        </w:rPr>
        <w:t>H</w:t>
      </w:r>
      <w:r w:rsidRPr="00DC5557">
        <w:rPr>
          <w:rFonts w:ascii="Avenir Black" w:hAnsi="Avenir Black"/>
          <w:b/>
          <w:bCs/>
          <w:sz w:val="26"/>
          <w:szCs w:val="26"/>
        </w:rPr>
        <w:t xml:space="preserve">ave Their Direct Caseloads Reduced </w:t>
      </w:r>
      <w:r>
        <w:rPr>
          <w:rFonts w:ascii="Avenir Black" w:hAnsi="Avenir Black"/>
          <w:b/>
          <w:bCs/>
          <w:sz w:val="26"/>
          <w:szCs w:val="26"/>
        </w:rPr>
        <w:t>i</w:t>
      </w:r>
      <w:r w:rsidRPr="00DC5557">
        <w:rPr>
          <w:rFonts w:ascii="Avenir Black" w:hAnsi="Avenir Black"/>
          <w:b/>
          <w:bCs/>
          <w:sz w:val="26"/>
          <w:szCs w:val="26"/>
        </w:rPr>
        <w:t xml:space="preserve">n Order </w:t>
      </w:r>
      <w:r>
        <w:rPr>
          <w:rFonts w:ascii="Avenir Black" w:hAnsi="Avenir Black"/>
          <w:b/>
          <w:bCs/>
          <w:sz w:val="26"/>
          <w:szCs w:val="26"/>
        </w:rPr>
        <w:t>t</w:t>
      </w:r>
      <w:r w:rsidRPr="00DC5557">
        <w:rPr>
          <w:rFonts w:ascii="Avenir Black" w:hAnsi="Avenir Black"/>
          <w:b/>
          <w:bCs/>
          <w:sz w:val="26"/>
          <w:szCs w:val="26"/>
        </w:rPr>
        <w:t xml:space="preserve">o Give Them More Time </w:t>
      </w:r>
      <w:r>
        <w:rPr>
          <w:rFonts w:ascii="Avenir Black" w:hAnsi="Avenir Black"/>
          <w:b/>
          <w:bCs/>
          <w:sz w:val="26"/>
          <w:szCs w:val="26"/>
        </w:rPr>
        <w:t>t</w:t>
      </w:r>
      <w:r w:rsidRPr="00DC5557">
        <w:rPr>
          <w:rFonts w:ascii="Avenir Black" w:hAnsi="Avenir Black"/>
          <w:b/>
          <w:bCs/>
          <w:sz w:val="26"/>
          <w:szCs w:val="26"/>
        </w:rPr>
        <w:t xml:space="preserve">o Mentor </w:t>
      </w:r>
      <w:r>
        <w:rPr>
          <w:rFonts w:ascii="Avenir Black" w:hAnsi="Avenir Black"/>
          <w:b/>
          <w:bCs/>
          <w:sz w:val="26"/>
          <w:szCs w:val="26"/>
        </w:rPr>
        <w:t>a</w:t>
      </w:r>
      <w:r w:rsidRPr="00DC5557">
        <w:rPr>
          <w:rFonts w:ascii="Avenir Black" w:hAnsi="Avenir Black"/>
          <w:b/>
          <w:bCs/>
          <w:sz w:val="26"/>
          <w:szCs w:val="26"/>
        </w:rPr>
        <w:t xml:space="preserve">nd Support </w:t>
      </w:r>
      <w:r>
        <w:rPr>
          <w:rFonts w:ascii="Avenir Black" w:hAnsi="Avenir Black"/>
          <w:b/>
          <w:bCs/>
          <w:sz w:val="26"/>
          <w:szCs w:val="26"/>
        </w:rPr>
        <w:t>t</w:t>
      </w:r>
      <w:r w:rsidRPr="00DC5557">
        <w:rPr>
          <w:rFonts w:ascii="Avenir Black" w:hAnsi="Avenir Black"/>
          <w:b/>
          <w:bCs/>
          <w:sz w:val="26"/>
          <w:szCs w:val="26"/>
        </w:rPr>
        <w:t>he Attorneys They Supervise</w:t>
      </w:r>
    </w:p>
    <w:p w14:paraId="46687245" w14:textId="0C47465D" w:rsidR="00622D85" w:rsidRPr="00DC5557" w:rsidRDefault="00622D85" w:rsidP="00DC5557">
      <w:pPr>
        <w:spacing w:line="360" w:lineRule="auto"/>
        <w:ind w:firstLine="720"/>
        <w:jc w:val="both"/>
        <w:rPr>
          <w:rFonts w:ascii="Avenir Book" w:hAnsi="Avenir Book"/>
        </w:rPr>
      </w:pPr>
      <w:r w:rsidRPr="00DC5557">
        <w:rPr>
          <w:rFonts w:ascii="Avenir Book" w:hAnsi="Avenir Book"/>
        </w:rPr>
        <w:t>Currently, the expectation within the Office is that attorneys who have supervisory responsibilities will also carry full caseloa</w:t>
      </w:r>
      <w:r w:rsidR="00037B34" w:rsidRPr="00DC5557">
        <w:rPr>
          <w:rFonts w:ascii="Avenir Book" w:hAnsi="Avenir Book"/>
        </w:rPr>
        <w:t xml:space="preserve">ds. </w:t>
      </w:r>
      <w:r w:rsidRPr="00DC5557">
        <w:rPr>
          <w:rFonts w:ascii="Avenir Book" w:hAnsi="Avenir Book"/>
        </w:rPr>
        <w:t xml:space="preserve">Supervisors cannot be expected to do a full-time job </w:t>
      </w:r>
      <w:r w:rsidR="00037B34" w:rsidRPr="00DC5557">
        <w:rPr>
          <w:rFonts w:ascii="Avenir Book" w:hAnsi="Avenir Book"/>
        </w:rPr>
        <w:t>litigating cases</w:t>
      </w:r>
      <w:r w:rsidR="00037B34" w:rsidRPr="00DC5557">
        <w:rPr>
          <w:rFonts w:ascii="Avenir Book" w:hAnsi="Avenir Book"/>
          <w:vertAlign w:val="superscript"/>
        </w:rPr>
        <w:endnoteReference w:id="407"/>
      </w:r>
      <w:r w:rsidR="00037B34" w:rsidRPr="00DC5557">
        <w:rPr>
          <w:rFonts w:ascii="Avenir Book" w:hAnsi="Avenir Book"/>
          <w:vertAlign w:val="superscript"/>
        </w:rPr>
        <w:t xml:space="preserve"> </w:t>
      </w:r>
      <w:r w:rsidR="00037B34" w:rsidRPr="00DC5557">
        <w:rPr>
          <w:rFonts w:ascii="Avenir Book" w:hAnsi="Avenir Book"/>
        </w:rPr>
        <w:t>(which are likely to be more complex based on their level of experience), only to be asked to do another full-time job of supervising junior attorneys. We recommend that the caseloads of supervising attorneys (whether team leaders or chiefs) be reduced to provide them with adequate time to dedicate to supervisory and related administrative duties.</w:t>
      </w:r>
    </w:p>
    <w:p w14:paraId="2FF49763" w14:textId="77777777" w:rsidR="00FA37A1" w:rsidRPr="00DC5557" w:rsidRDefault="00037B34" w:rsidP="00DC5557">
      <w:pPr>
        <w:spacing w:line="360" w:lineRule="auto"/>
        <w:ind w:firstLine="720"/>
        <w:jc w:val="both"/>
        <w:rPr>
          <w:rFonts w:ascii="Avenir Book" w:hAnsi="Avenir Book"/>
        </w:rPr>
      </w:pPr>
      <w:r w:rsidRPr="00DC5557">
        <w:rPr>
          <w:rFonts w:ascii="Avenir Book" w:hAnsi="Avenir Book"/>
        </w:rPr>
        <w:t>Giving supervisors time to have regular meetings with their subordinates</w:t>
      </w:r>
      <w:r w:rsidR="00FA37A1" w:rsidRPr="00DC5557">
        <w:rPr>
          <w:rFonts w:ascii="Avenir Book" w:hAnsi="Avenir Book"/>
        </w:rPr>
        <w:t xml:space="preserve"> and other </w:t>
      </w:r>
      <w:r w:rsidR="00213639" w:rsidRPr="00DC5557">
        <w:rPr>
          <w:rFonts w:ascii="Avenir Book" w:hAnsi="Avenir Book"/>
        </w:rPr>
        <w:t>staff members</w:t>
      </w:r>
      <w:r w:rsidRPr="00DC5557">
        <w:rPr>
          <w:rFonts w:ascii="Avenir Book" w:hAnsi="Avenir Book"/>
        </w:rPr>
        <w:t xml:space="preserve">; regularly review </w:t>
      </w:r>
      <w:r w:rsidR="00213639" w:rsidRPr="00DC5557">
        <w:rPr>
          <w:rFonts w:ascii="Avenir Book" w:hAnsi="Avenir Book"/>
        </w:rPr>
        <w:t>attorney</w:t>
      </w:r>
      <w:r w:rsidRPr="00DC5557">
        <w:rPr>
          <w:rFonts w:ascii="Avenir Book" w:hAnsi="Avenir Book"/>
        </w:rPr>
        <w:t xml:space="preserve"> cases</w:t>
      </w:r>
      <w:r w:rsidR="00213639" w:rsidRPr="00DC5557">
        <w:rPr>
          <w:rFonts w:ascii="Avenir Book" w:hAnsi="Avenir Book"/>
        </w:rPr>
        <w:t xml:space="preserve"> through the case management system</w:t>
      </w:r>
      <w:r w:rsidRPr="00DC5557">
        <w:rPr>
          <w:rFonts w:ascii="Avenir Book" w:hAnsi="Avenir Book"/>
        </w:rPr>
        <w:t xml:space="preserve">; </w:t>
      </w:r>
      <w:r w:rsidR="00213639" w:rsidRPr="00DC5557">
        <w:rPr>
          <w:rFonts w:ascii="Avenir Book" w:hAnsi="Avenir Book"/>
        </w:rPr>
        <w:t xml:space="preserve">coordinate approaches at the supervisory level; and </w:t>
      </w:r>
      <w:r w:rsidRPr="00DC5557">
        <w:rPr>
          <w:rFonts w:ascii="Avenir Book" w:hAnsi="Avenir Book"/>
        </w:rPr>
        <w:t>complete performance reviews</w:t>
      </w:r>
      <w:r w:rsidR="00213639" w:rsidRPr="00DC5557">
        <w:rPr>
          <w:rFonts w:ascii="Avenir Book" w:hAnsi="Avenir Book"/>
        </w:rPr>
        <w:t>,</w:t>
      </w:r>
      <w:r w:rsidR="00FA37A1" w:rsidRPr="00DC5557">
        <w:rPr>
          <w:rFonts w:ascii="Avenir Book" w:hAnsi="Avenir Book"/>
        </w:rPr>
        <w:t xml:space="preserve"> will be of benefit to the entire office, but especially to newer and more junior attorneys.</w:t>
      </w:r>
      <w:r w:rsidRPr="00DC5557">
        <w:rPr>
          <w:rFonts w:ascii="Avenir Book" w:hAnsi="Avenir Book"/>
        </w:rPr>
        <w:t xml:space="preserve"> </w:t>
      </w:r>
      <w:r w:rsidR="00FA37A1" w:rsidRPr="00DC5557">
        <w:rPr>
          <w:rFonts w:ascii="Avenir Book" w:hAnsi="Avenir Book"/>
        </w:rPr>
        <w:t xml:space="preserve">Placing an increased emphasis on supervision and communication is fundamental, especially during a time in history when employees are decentralized because of a global pandemic. </w:t>
      </w:r>
    </w:p>
    <w:p w14:paraId="55606E08" w14:textId="0B6D9B6D" w:rsidR="00FA37A1" w:rsidRPr="00DC5557" w:rsidRDefault="00FA37A1" w:rsidP="00DC5557">
      <w:pPr>
        <w:spacing w:line="360" w:lineRule="auto"/>
        <w:ind w:firstLine="720"/>
        <w:jc w:val="both"/>
        <w:rPr>
          <w:rFonts w:ascii="Avenir Book" w:hAnsi="Avenir Book"/>
        </w:rPr>
      </w:pPr>
      <w:r w:rsidRPr="00DC5557">
        <w:rPr>
          <w:rFonts w:ascii="Avenir Book" w:hAnsi="Avenir Book"/>
        </w:rPr>
        <w:lastRenderedPageBreak/>
        <w:t xml:space="preserve">We further recommend that the Office hold regularly-scheduled, periodic office-wide meetings for all </w:t>
      </w:r>
      <w:r w:rsidR="00213639" w:rsidRPr="00DC5557">
        <w:rPr>
          <w:rFonts w:ascii="Avenir Book" w:hAnsi="Avenir Book"/>
        </w:rPr>
        <w:t xml:space="preserve">attorneys and </w:t>
      </w:r>
      <w:r w:rsidRPr="00DC5557">
        <w:rPr>
          <w:rFonts w:ascii="Avenir Book" w:hAnsi="Avenir Book"/>
        </w:rPr>
        <w:t>staff</w:t>
      </w:r>
      <w:r w:rsidRPr="00DC5557">
        <w:rPr>
          <w:rFonts w:ascii="Avenir Book" w:hAnsi="Avenir Book"/>
          <w:vertAlign w:val="superscript"/>
        </w:rPr>
        <w:endnoteReference w:id="408"/>
      </w:r>
      <w:r w:rsidRPr="00DC5557">
        <w:rPr>
          <w:rFonts w:ascii="Avenir Book" w:hAnsi="Avenir Book"/>
        </w:rPr>
        <w:t xml:space="preserve"> where management can update the </w:t>
      </w:r>
      <w:r w:rsidR="00213639" w:rsidRPr="00DC5557">
        <w:rPr>
          <w:rFonts w:ascii="Avenir Book" w:hAnsi="Avenir Book"/>
        </w:rPr>
        <w:t>Office</w:t>
      </w:r>
      <w:r w:rsidRPr="00DC5557">
        <w:rPr>
          <w:rFonts w:ascii="Avenir Book" w:hAnsi="Avenir Book"/>
        </w:rPr>
        <w:t xml:space="preserve"> about </w:t>
      </w:r>
      <w:r w:rsidR="00213639" w:rsidRPr="00DC5557">
        <w:rPr>
          <w:rFonts w:ascii="Avenir Book" w:hAnsi="Avenir Book"/>
        </w:rPr>
        <w:t>general matters</w:t>
      </w:r>
      <w:r w:rsidRPr="00DC5557">
        <w:rPr>
          <w:rFonts w:ascii="Avenir Book" w:hAnsi="Avenir Book"/>
        </w:rPr>
        <w:t xml:space="preserve"> as well as any strategic measures the </w:t>
      </w:r>
      <w:r w:rsidR="00B155C7">
        <w:rPr>
          <w:rFonts w:ascii="Avenir Book" w:hAnsi="Avenir Book"/>
        </w:rPr>
        <w:t>O</w:t>
      </w:r>
      <w:r w:rsidRPr="00DC5557">
        <w:rPr>
          <w:rFonts w:ascii="Avenir Book" w:hAnsi="Avenir Book"/>
        </w:rPr>
        <w:t>ffice may be engaged in going forward. This should also be a forum for staff members to bring up any questions or concerns that they may have that they want to communicate with management as a group.</w:t>
      </w:r>
    </w:p>
    <w:p w14:paraId="6F6A042B" w14:textId="6AE27890" w:rsidR="000F6C1C" w:rsidRPr="00DC5557" w:rsidRDefault="00213639" w:rsidP="00DC5557">
      <w:pPr>
        <w:spacing w:line="360" w:lineRule="auto"/>
        <w:ind w:firstLine="720"/>
        <w:jc w:val="both"/>
        <w:rPr>
          <w:rFonts w:ascii="Avenir Book" w:hAnsi="Avenir Book"/>
        </w:rPr>
      </w:pPr>
      <w:r w:rsidRPr="00DC5557">
        <w:rPr>
          <w:rFonts w:ascii="Avenir Book" w:hAnsi="Avenir Book"/>
        </w:rPr>
        <w:t>Lastly</w:t>
      </w:r>
      <w:r w:rsidR="000F6C1C" w:rsidRPr="00DC5557">
        <w:rPr>
          <w:rFonts w:ascii="Avenir Book" w:hAnsi="Avenir Book"/>
        </w:rPr>
        <w:t>, we recommend that supervising attorneys should be selected based</w:t>
      </w:r>
      <w:r w:rsidR="008C68FD" w:rsidRPr="00DC5557">
        <w:rPr>
          <w:rFonts w:ascii="Avenir Book" w:hAnsi="Avenir Book"/>
        </w:rPr>
        <w:t xml:space="preserve"> on</w:t>
      </w:r>
      <w:r w:rsidR="000F6C1C" w:rsidRPr="00DC5557">
        <w:rPr>
          <w:rFonts w:ascii="Avenir Book" w:hAnsi="Avenir Book"/>
        </w:rPr>
        <w:t xml:space="preserve"> </w:t>
      </w:r>
      <w:r w:rsidRPr="00DC5557">
        <w:rPr>
          <w:rFonts w:ascii="Avenir Book" w:hAnsi="Avenir Book"/>
        </w:rPr>
        <w:t xml:space="preserve">performance and </w:t>
      </w:r>
      <w:r w:rsidR="000F6C1C" w:rsidRPr="00DC5557">
        <w:rPr>
          <w:rFonts w:ascii="Avenir Book" w:hAnsi="Avenir Book"/>
        </w:rPr>
        <w:t>on “who best supports the new cultural values of the office,”</w:t>
      </w:r>
      <w:r w:rsidR="000F6C1C" w:rsidRPr="00DC5557">
        <w:rPr>
          <w:rFonts w:ascii="Avenir Book" w:hAnsi="Avenir Book"/>
          <w:vertAlign w:val="superscript"/>
        </w:rPr>
        <w:endnoteReference w:id="409"/>
      </w:r>
      <w:r w:rsidR="000F6C1C" w:rsidRPr="00DC5557">
        <w:rPr>
          <w:rFonts w:ascii="Avenir Book" w:hAnsi="Avenir Book"/>
        </w:rPr>
        <w:t xml:space="preserve"> as opposed to who has the most seniority i</w:t>
      </w:r>
      <w:r w:rsidR="00622D85" w:rsidRPr="00DC5557">
        <w:rPr>
          <w:rFonts w:ascii="Avenir Book" w:hAnsi="Avenir Book"/>
        </w:rPr>
        <w:t>n the office. In furtherance of this, the Office should create and distribute performance and promotion standards.</w:t>
      </w:r>
    </w:p>
    <w:p w14:paraId="512EC89A" w14:textId="77777777" w:rsidR="000F6C1C" w:rsidRPr="00DC5557" w:rsidRDefault="00FA37A1" w:rsidP="00DC5557">
      <w:pPr>
        <w:spacing w:line="360" w:lineRule="auto"/>
        <w:ind w:firstLine="720"/>
        <w:jc w:val="both"/>
        <w:rPr>
          <w:rFonts w:ascii="Avenir Book" w:hAnsi="Avenir Book"/>
        </w:rPr>
      </w:pPr>
      <w:r w:rsidRPr="00DC5557">
        <w:rPr>
          <w:rFonts w:ascii="Avenir Book" w:hAnsi="Avenir Book"/>
        </w:rPr>
        <w:t xml:space="preserve"> </w:t>
      </w:r>
      <w:r w:rsidR="000F6C1C" w:rsidRPr="00DC5557">
        <w:rPr>
          <w:rFonts w:ascii="Avenir Book" w:hAnsi="Avenir Book"/>
        </w:rPr>
        <w:t>“Getting staff to buy into the new office culture requires a conscious effort to change the priorities of the office by rewarding and encouraging new and different kinds of lawyering.”</w:t>
      </w:r>
      <w:r w:rsidR="000F6C1C" w:rsidRPr="00DC5557">
        <w:rPr>
          <w:rFonts w:ascii="Avenir Book" w:hAnsi="Avenir Book"/>
          <w:vertAlign w:val="superscript"/>
        </w:rPr>
        <w:endnoteReference w:id="410"/>
      </w:r>
      <w:r w:rsidR="000F6C1C" w:rsidRPr="00DC5557">
        <w:rPr>
          <w:rFonts w:ascii="Avenir Book" w:hAnsi="Avenir Book"/>
        </w:rPr>
        <w:t xml:space="preserve"> That is why we are also recommending that management begin sending out monthly emails that highlight client success stories and staff accomplishments. All staff in the office should have an opportunity to submit “success stories” for themselves or for their peers, because “the public acknowledgment of client-centered triumphs goes a long way toward setting the tone of the office, and it makes everyone feel good.”</w:t>
      </w:r>
      <w:r w:rsidR="000F6C1C" w:rsidRPr="00DC5557">
        <w:rPr>
          <w:rFonts w:ascii="Avenir Book" w:hAnsi="Avenir Book"/>
          <w:vertAlign w:val="superscript"/>
        </w:rPr>
        <w:endnoteReference w:id="411"/>
      </w:r>
    </w:p>
    <w:p w14:paraId="0AD293D7" w14:textId="77777777" w:rsidR="000F6C1C" w:rsidRDefault="000F6C1C" w:rsidP="00D507F8">
      <w:pPr>
        <w:pBdr>
          <w:top w:val="nil"/>
          <w:left w:val="nil"/>
          <w:bottom w:val="nil"/>
          <w:right w:val="nil"/>
          <w:between w:val="nil"/>
        </w:pBdr>
        <w:spacing w:line="480" w:lineRule="auto"/>
        <w:rPr>
          <w:b/>
          <w:highlight w:val="yellow"/>
        </w:rPr>
      </w:pPr>
    </w:p>
    <w:p w14:paraId="4B7E550E" w14:textId="31B0054C" w:rsidR="00EC2CE9" w:rsidRPr="00DC5557" w:rsidRDefault="00DC5557" w:rsidP="00DC5557">
      <w:pPr>
        <w:spacing w:line="276" w:lineRule="auto"/>
        <w:rPr>
          <w:rFonts w:ascii="Avenir Black" w:hAnsi="Avenir Black"/>
          <w:b/>
          <w:bCs/>
          <w:sz w:val="26"/>
          <w:szCs w:val="26"/>
        </w:rPr>
      </w:pPr>
      <w:r w:rsidRPr="00DC5557">
        <w:rPr>
          <w:rFonts w:ascii="Avenir Black" w:hAnsi="Avenir Black"/>
          <w:b/>
          <w:bCs/>
          <w:sz w:val="26"/>
          <w:szCs w:val="26"/>
        </w:rPr>
        <w:t xml:space="preserve">We Recommend </w:t>
      </w:r>
      <w:r>
        <w:rPr>
          <w:rFonts w:ascii="Avenir Black" w:hAnsi="Avenir Black"/>
          <w:b/>
          <w:bCs/>
          <w:sz w:val="26"/>
          <w:szCs w:val="26"/>
        </w:rPr>
        <w:t>t</w:t>
      </w:r>
      <w:r w:rsidRPr="00DC5557">
        <w:rPr>
          <w:rFonts w:ascii="Avenir Black" w:hAnsi="Avenir Black"/>
          <w:b/>
          <w:bCs/>
          <w:sz w:val="26"/>
          <w:szCs w:val="26"/>
        </w:rPr>
        <w:t xml:space="preserve">hat Montgomery County </w:t>
      </w:r>
      <w:r>
        <w:rPr>
          <w:rFonts w:ascii="Avenir Black" w:hAnsi="Avenir Black"/>
          <w:b/>
          <w:bCs/>
          <w:sz w:val="26"/>
          <w:szCs w:val="26"/>
        </w:rPr>
        <w:t>a</w:t>
      </w:r>
      <w:r w:rsidRPr="00DC5557">
        <w:rPr>
          <w:rFonts w:ascii="Avenir Black" w:hAnsi="Avenir Black"/>
          <w:b/>
          <w:bCs/>
          <w:sz w:val="26"/>
          <w:szCs w:val="26"/>
        </w:rPr>
        <w:t xml:space="preserve">nd </w:t>
      </w:r>
      <w:r>
        <w:rPr>
          <w:rFonts w:ascii="Avenir Black" w:hAnsi="Avenir Black"/>
          <w:b/>
          <w:bCs/>
          <w:sz w:val="26"/>
          <w:szCs w:val="26"/>
        </w:rPr>
        <w:t>th</w:t>
      </w:r>
      <w:r w:rsidRPr="00DC5557">
        <w:rPr>
          <w:rFonts w:ascii="Avenir Black" w:hAnsi="Avenir Black"/>
          <w:b/>
          <w:bCs/>
          <w:sz w:val="26"/>
          <w:szCs w:val="26"/>
        </w:rPr>
        <w:t xml:space="preserve">e Office </w:t>
      </w:r>
      <w:r>
        <w:rPr>
          <w:rFonts w:ascii="Avenir Black" w:hAnsi="Avenir Black"/>
          <w:b/>
          <w:bCs/>
          <w:sz w:val="26"/>
          <w:szCs w:val="26"/>
        </w:rPr>
        <w:t>o</w:t>
      </w:r>
      <w:r w:rsidRPr="00DC5557">
        <w:rPr>
          <w:rFonts w:ascii="Avenir Black" w:hAnsi="Avenir Black"/>
          <w:b/>
          <w:bCs/>
          <w:sz w:val="26"/>
          <w:szCs w:val="26"/>
        </w:rPr>
        <w:t xml:space="preserve">f </w:t>
      </w:r>
      <w:r>
        <w:rPr>
          <w:rFonts w:ascii="Avenir Black" w:hAnsi="Avenir Black"/>
          <w:b/>
          <w:bCs/>
          <w:sz w:val="26"/>
          <w:szCs w:val="26"/>
        </w:rPr>
        <w:t>th</w:t>
      </w:r>
      <w:r w:rsidRPr="00DC5557">
        <w:rPr>
          <w:rFonts w:ascii="Avenir Black" w:hAnsi="Avenir Black"/>
          <w:b/>
          <w:bCs/>
          <w:sz w:val="26"/>
          <w:szCs w:val="26"/>
        </w:rPr>
        <w:t xml:space="preserve">e Public Defender Formally Adopt </w:t>
      </w:r>
      <w:r>
        <w:rPr>
          <w:rFonts w:ascii="Avenir Black" w:hAnsi="Avenir Black"/>
          <w:b/>
          <w:bCs/>
          <w:sz w:val="26"/>
          <w:szCs w:val="26"/>
        </w:rPr>
        <w:t>t</w:t>
      </w:r>
      <w:r w:rsidRPr="00DC5557">
        <w:rPr>
          <w:rFonts w:ascii="Avenir Black" w:hAnsi="Avenir Black"/>
          <w:b/>
          <w:bCs/>
          <w:sz w:val="26"/>
          <w:szCs w:val="26"/>
        </w:rPr>
        <w:t xml:space="preserve">he </w:t>
      </w:r>
      <w:r>
        <w:rPr>
          <w:rFonts w:ascii="Avenir Black" w:hAnsi="Avenir Black"/>
          <w:b/>
          <w:bCs/>
          <w:sz w:val="26"/>
          <w:szCs w:val="26"/>
        </w:rPr>
        <w:t>ABA</w:t>
      </w:r>
      <w:r w:rsidRPr="00DC5557">
        <w:rPr>
          <w:rFonts w:ascii="Avenir Black" w:hAnsi="Avenir Black"/>
          <w:b/>
          <w:bCs/>
          <w:sz w:val="26"/>
          <w:szCs w:val="26"/>
        </w:rPr>
        <w:t xml:space="preserve"> </w:t>
      </w:r>
      <w:r>
        <w:rPr>
          <w:rFonts w:ascii="Avenir Black" w:hAnsi="Avenir Black"/>
          <w:b/>
          <w:bCs/>
          <w:sz w:val="26"/>
          <w:szCs w:val="26"/>
        </w:rPr>
        <w:t>a</w:t>
      </w:r>
      <w:r w:rsidRPr="00DC5557">
        <w:rPr>
          <w:rFonts w:ascii="Avenir Black" w:hAnsi="Avenir Black"/>
          <w:b/>
          <w:bCs/>
          <w:sz w:val="26"/>
          <w:szCs w:val="26"/>
        </w:rPr>
        <w:t xml:space="preserve">nd </w:t>
      </w:r>
      <w:r>
        <w:rPr>
          <w:rFonts w:ascii="Avenir Black" w:hAnsi="Avenir Black"/>
          <w:b/>
          <w:bCs/>
          <w:sz w:val="26"/>
          <w:szCs w:val="26"/>
        </w:rPr>
        <w:t>NAPD</w:t>
      </w:r>
      <w:r w:rsidRPr="00DC5557">
        <w:rPr>
          <w:rFonts w:ascii="Avenir Black" w:hAnsi="Avenir Black"/>
          <w:b/>
          <w:bCs/>
          <w:sz w:val="26"/>
          <w:szCs w:val="26"/>
        </w:rPr>
        <w:t xml:space="preserve"> Standards </w:t>
      </w:r>
    </w:p>
    <w:p w14:paraId="4891CB88" w14:textId="55CD7919" w:rsidR="000F6C1C" w:rsidRPr="00DC5557" w:rsidRDefault="000F6C1C" w:rsidP="00DC5557">
      <w:pPr>
        <w:pBdr>
          <w:top w:val="nil"/>
          <w:left w:val="nil"/>
          <w:bottom w:val="nil"/>
          <w:right w:val="nil"/>
          <w:between w:val="nil"/>
        </w:pBdr>
        <w:spacing w:line="360" w:lineRule="auto"/>
        <w:ind w:firstLine="720"/>
        <w:jc w:val="both"/>
        <w:rPr>
          <w:rFonts w:ascii="Avenir Book" w:hAnsi="Avenir Book"/>
          <w:color w:val="000000"/>
        </w:rPr>
      </w:pPr>
      <w:r w:rsidRPr="00DC5557">
        <w:rPr>
          <w:rFonts w:ascii="Avenir Book" w:hAnsi="Avenir Book"/>
          <w:color w:val="000000"/>
        </w:rPr>
        <w:t>Neither Montgomery County nor the Office of the Public Defender itself ha</w:t>
      </w:r>
      <w:r w:rsidR="008C68FD" w:rsidRPr="00DC5557">
        <w:rPr>
          <w:rFonts w:ascii="Avenir Book" w:hAnsi="Avenir Book"/>
          <w:color w:val="000000"/>
        </w:rPr>
        <w:t>s</w:t>
      </w:r>
      <w:r w:rsidRPr="00DC5557">
        <w:rPr>
          <w:rFonts w:ascii="Avenir Book" w:hAnsi="Avenir Book"/>
          <w:color w:val="000000"/>
        </w:rPr>
        <w:t xml:space="preserve"> formally adopted either the ABA or NAPD standards relating to public defense.</w:t>
      </w:r>
      <w:r w:rsidRPr="00DC5557">
        <w:rPr>
          <w:rFonts w:ascii="Avenir Book" w:hAnsi="Avenir Book"/>
          <w:color w:val="000000"/>
          <w:vertAlign w:val="superscript"/>
        </w:rPr>
        <w:endnoteReference w:id="412"/>
      </w:r>
      <w:r w:rsidRPr="00DC5557">
        <w:rPr>
          <w:rFonts w:ascii="Avenir Book" w:hAnsi="Avenir Book"/>
          <w:color w:val="000000"/>
        </w:rPr>
        <w:t xml:space="preserve"> Compliance with nationally recognized standards is a proven way to provide quality and ethical indigent defense representation.</w:t>
      </w:r>
      <w:r w:rsidRPr="00DC5557">
        <w:rPr>
          <w:rFonts w:ascii="Avenir Book" w:hAnsi="Avenir Book"/>
          <w:color w:val="000000"/>
          <w:vertAlign w:val="superscript"/>
        </w:rPr>
        <w:endnoteReference w:id="413"/>
      </w:r>
      <w:r w:rsidRPr="00DC5557">
        <w:rPr>
          <w:rFonts w:ascii="Avenir Book" w:hAnsi="Avenir Book"/>
          <w:color w:val="000000"/>
        </w:rPr>
        <w:t xml:space="preserve"> However, mechanisms must be in place to ensure that any adopted standards are being followed. </w:t>
      </w:r>
    </w:p>
    <w:p w14:paraId="1C3A0B42" w14:textId="77777777" w:rsidR="000F6C1C" w:rsidRPr="00DC5557" w:rsidRDefault="000F6C1C" w:rsidP="00DC5557">
      <w:pPr>
        <w:pBdr>
          <w:top w:val="nil"/>
          <w:left w:val="nil"/>
          <w:bottom w:val="nil"/>
          <w:right w:val="nil"/>
          <w:between w:val="nil"/>
        </w:pBdr>
        <w:spacing w:line="360" w:lineRule="auto"/>
        <w:ind w:firstLine="720"/>
        <w:jc w:val="both"/>
        <w:rPr>
          <w:rFonts w:ascii="Avenir Book" w:hAnsi="Avenir Book"/>
          <w:color w:val="000000"/>
        </w:rPr>
      </w:pPr>
      <w:r w:rsidRPr="00DC5557">
        <w:rPr>
          <w:rFonts w:ascii="Avenir Book" w:hAnsi="Avenir Book"/>
          <w:color w:val="000000"/>
        </w:rPr>
        <w:lastRenderedPageBreak/>
        <w:t>There are a variety of ways to introduce national standards into a public defense system. Standards can be adopt</w:t>
      </w:r>
      <w:r w:rsidR="00A97F85" w:rsidRPr="00DC5557">
        <w:rPr>
          <w:rFonts w:ascii="Avenir Book" w:hAnsi="Avenir Book"/>
          <w:color w:val="000000"/>
        </w:rPr>
        <w:t>ed voluntarily and overseen by o</w:t>
      </w:r>
      <w:r w:rsidRPr="00DC5557">
        <w:rPr>
          <w:rFonts w:ascii="Avenir Book" w:hAnsi="Avenir Book"/>
          <w:color w:val="000000"/>
        </w:rPr>
        <w:t xml:space="preserve">versight bodies, such as a statewide or local </w:t>
      </w:r>
      <w:r w:rsidR="00A06446" w:rsidRPr="00DC5557">
        <w:rPr>
          <w:rFonts w:ascii="Avenir Book" w:hAnsi="Avenir Book"/>
          <w:color w:val="000000"/>
        </w:rPr>
        <w:t>Oversight Board</w:t>
      </w:r>
      <w:r w:rsidRPr="00DC5557">
        <w:rPr>
          <w:rFonts w:ascii="Avenir Book" w:hAnsi="Avenir Book"/>
          <w:color w:val="000000"/>
        </w:rPr>
        <w:t>.</w:t>
      </w:r>
      <w:r w:rsidRPr="00DC5557">
        <w:rPr>
          <w:rFonts w:ascii="Avenir Book" w:hAnsi="Avenir Book"/>
          <w:color w:val="000000"/>
          <w:vertAlign w:val="superscript"/>
        </w:rPr>
        <w:endnoteReference w:id="414"/>
      </w:r>
      <w:r w:rsidRPr="00DC5557">
        <w:rPr>
          <w:rFonts w:ascii="Avenir Book" w:hAnsi="Avenir Book"/>
          <w:color w:val="000000"/>
        </w:rPr>
        <w:t xml:space="preserve"> Standards may also be statutorily prescribed, an option that would require statewide legislative change.</w:t>
      </w:r>
      <w:r w:rsidRPr="00DC5557">
        <w:rPr>
          <w:rFonts w:ascii="Avenir Book" w:hAnsi="Avenir Book"/>
          <w:color w:val="000000"/>
          <w:vertAlign w:val="superscript"/>
        </w:rPr>
        <w:endnoteReference w:id="415"/>
      </w:r>
      <w:r w:rsidRPr="00DC5557">
        <w:rPr>
          <w:rFonts w:ascii="Avenir Book" w:hAnsi="Avenir Book"/>
          <w:color w:val="000000"/>
        </w:rPr>
        <w:t xml:space="preserve"> </w:t>
      </w:r>
      <w:r w:rsidR="00650258" w:rsidRPr="00DC5557">
        <w:rPr>
          <w:rFonts w:ascii="Avenir Book" w:hAnsi="Avenir Book"/>
          <w:color w:val="000000"/>
        </w:rPr>
        <w:t>In addition</w:t>
      </w:r>
      <w:r w:rsidRPr="00DC5557">
        <w:rPr>
          <w:rFonts w:ascii="Avenir Book" w:hAnsi="Avenir Book"/>
          <w:color w:val="000000"/>
        </w:rPr>
        <w:t xml:space="preserve">, many </w:t>
      </w:r>
      <w:r w:rsidR="00650258" w:rsidRPr="00DC5557">
        <w:rPr>
          <w:rFonts w:ascii="Avenir Book" w:hAnsi="Avenir Book"/>
          <w:color w:val="000000"/>
        </w:rPr>
        <w:t>governments</w:t>
      </w:r>
      <w:r w:rsidRPr="00DC5557">
        <w:rPr>
          <w:rFonts w:ascii="Avenir Book" w:hAnsi="Avenir Book"/>
          <w:color w:val="000000"/>
        </w:rPr>
        <w:t xml:space="preserve"> condition funding on compliance with standards.</w:t>
      </w:r>
      <w:r w:rsidRPr="00DC5557">
        <w:rPr>
          <w:rFonts w:ascii="Avenir Book" w:hAnsi="Avenir Book"/>
          <w:color w:val="000000"/>
          <w:vertAlign w:val="superscript"/>
        </w:rPr>
        <w:endnoteReference w:id="416"/>
      </w:r>
      <w:r w:rsidRPr="00DC5557">
        <w:rPr>
          <w:rFonts w:ascii="Avenir Book" w:hAnsi="Avenir Book"/>
          <w:color w:val="000000"/>
        </w:rPr>
        <w:t xml:space="preserve"> While statutorily prescribed standards </w:t>
      </w:r>
      <w:r w:rsidR="00650258" w:rsidRPr="00DC5557">
        <w:rPr>
          <w:rFonts w:ascii="Avenir Book" w:hAnsi="Avenir Book"/>
          <w:color w:val="000000"/>
        </w:rPr>
        <w:t>are</w:t>
      </w:r>
      <w:r w:rsidRPr="00DC5557">
        <w:rPr>
          <w:rFonts w:ascii="Avenir Book" w:hAnsi="Avenir Book"/>
          <w:color w:val="000000"/>
        </w:rPr>
        <w:t xml:space="preserve"> proven </w:t>
      </w:r>
      <w:r w:rsidR="00650258" w:rsidRPr="00DC5557">
        <w:rPr>
          <w:rFonts w:ascii="Avenir Book" w:hAnsi="Avenir Book"/>
          <w:color w:val="000000"/>
        </w:rPr>
        <w:t>to be the</w:t>
      </w:r>
      <w:r w:rsidRPr="00DC5557">
        <w:rPr>
          <w:rFonts w:ascii="Avenir Book" w:hAnsi="Avenir Book"/>
          <w:color w:val="000000"/>
        </w:rPr>
        <w:t xml:space="preserve"> </w:t>
      </w:r>
      <w:r w:rsidR="00650258" w:rsidRPr="00DC5557">
        <w:rPr>
          <w:rFonts w:ascii="Avenir Book" w:hAnsi="Avenir Book"/>
          <w:color w:val="000000"/>
        </w:rPr>
        <w:t>best</w:t>
      </w:r>
      <w:r w:rsidRPr="00DC5557">
        <w:rPr>
          <w:rFonts w:ascii="Avenir Book" w:hAnsi="Avenir Book"/>
          <w:color w:val="000000"/>
        </w:rPr>
        <w:t xml:space="preserve"> way to enforce compliance with such standards,</w:t>
      </w:r>
      <w:r w:rsidRPr="00DC5557">
        <w:rPr>
          <w:rFonts w:ascii="Avenir Book" w:hAnsi="Avenir Book"/>
          <w:color w:val="000000"/>
          <w:vertAlign w:val="superscript"/>
        </w:rPr>
        <w:endnoteReference w:id="417"/>
      </w:r>
      <w:r w:rsidRPr="00DC5557">
        <w:rPr>
          <w:rFonts w:ascii="Avenir Book" w:hAnsi="Avenir Book"/>
          <w:color w:val="000000"/>
        </w:rPr>
        <w:t xml:space="preserve"> voluntary adoption of standards is the most realistically </w:t>
      </w:r>
      <w:r w:rsidR="00650258" w:rsidRPr="00DC5557">
        <w:rPr>
          <w:rFonts w:ascii="Avenir Book" w:hAnsi="Avenir Book"/>
          <w:color w:val="000000"/>
        </w:rPr>
        <w:t>option</w:t>
      </w:r>
      <w:r w:rsidRPr="00DC5557">
        <w:rPr>
          <w:rFonts w:ascii="Avenir Book" w:hAnsi="Avenir Book"/>
          <w:color w:val="000000"/>
        </w:rPr>
        <w:t xml:space="preserve"> for Montgomery County given Pennsylvania’s </w:t>
      </w:r>
      <w:r w:rsidR="00650258" w:rsidRPr="00DC5557">
        <w:rPr>
          <w:rFonts w:ascii="Avenir Book" w:hAnsi="Avenir Book"/>
          <w:color w:val="000000"/>
        </w:rPr>
        <w:t>legal landscape</w:t>
      </w:r>
      <w:r w:rsidRPr="00DC5557">
        <w:rPr>
          <w:rFonts w:ascii="Avenir Book" w:hAnsi="Avenir Book"/>
          <w:color w:val="000000"/>
        </w:rPr>
        <w:t>.</w:t>
      </w:r>
    </w:p>
    <w:p w14:paraId="79CE9733" w14:textId="7D4F65F7" w:rsidR="000F6C1C" w:rsidRPr="00DC5557" w:rsidRDefault="00650258" w:rsidP="00DC5557">
      <w:pPr>
        <w:pBdr>
          <w:top w:val="nil"/>
          <w:left w:val="nil"/>
          <w:bottom w:val="nil"/>
          <w:right w:val="nil"/>
          <w:between w:val="nil"/>
        </w:pBdr>
        <w:spacing w:line="360" w:lineRule="auto"/>
        <w:ind w:firstLine="720"/>
        <w:jc w:val="both"/>
        <w:rPr>
          <w:rFonts w:ascii="Avenir Book" w:hAnsi="Avenir Book"/>
          <w:color w:val="000000"/>
        </w:rPr>
      </w:pPr>
      <w:r w:rsidRPr="00DC5557">
        <w:rPr>
          <w:rFonts w:ascii="Avenir Book" w:hAnsi="Avenir Book"/>
          <w:color w:val="000000"/>
        </w:rPr>
        <w:t>We therefore</w:t>
      </w:r>
      <w:r w:rsidR="000F6C1C" w:rsidRPr="00DC5557">
        <w:rPr>
          <w:rFonts w:ascii="Avenir Book" w:hAnsi="Avenir Book"/>
          <w:color w:val="000000"/>
        </w:rPr>
        <w:t xml:space="preserve"> recommend that the</w:t>
      </w:r>
      <w:r w:rsidR="00E56FEE" w:rsidRPr="00DC5557">
        <w:rPr>
          <w:rFonts w:ascii="Avenir Book" w:hAnsi="Avenir Book"/>
          <w:color w:val="000000"/>
        </w:rPr>
        <w:t xml:space="preserve"> County and the</w:t>
      </w:r>
      <w:r w:rsidR="000F6C1C" w:rsidRPr="00DC5557">
        <w:rPr>
          <w:rFonts w:ascii="Avenir Book" w:hAnsi="Avenir Book"/>
          <w:color w:val="000000"/>
        </w:rPr>
        <w:t xml:space="preserve"> </w:t>
      </w:r>
      <w:r w:rsidRPr="00DC5557">
        <w:rPr>
          <w:rFonts w:ascii="Avenir Book" w:hAnsi="Avenir Book"/>
          <w:color w:val="000000"/>
        </w:rPr>
        <w:t xml:space="preserve">Office </w:t>
      </w:r>
      <w:r w:rsidR="000F6C1C" w:rsidRPr="00DC5557">
        <w:rPr>
          <w:rFonts w:ascii="Avenir Book" w:hAnsi="Avenir Book"/>
          <w:color w:val="000000"/>
        </w:rPr>
        <w:t xml:space="preserve">formally adopt both the ABA and NAPD Principles to serve as the official guidance for all operations of the Office of the Public Defender. Because there is an absence of </w:t>
      </w:r>
      <w:r w:rsidR="008C68FD" w:rsidRPr="00DC5557">
        <w:rPr>
          <w:rFonts w:ascii="Avenir Book" w:hAnsi="Avenir Book"/>
          <w:color w:val="000000"/>
        </w:rPr>
        <w:t>standards</w:t>
      </w:r>
      <w:r w:rsidR="000F6C1C" w:rsidRPr="00DC5557">
        <w:rPr>
          <w:rFonts w:ascii="Avenir Book" w:hAnsi="Avenir Book"/>
          <w:color w:val="000000"/>
        </w:rPr>
        <w:t xml:space="preserve"> from </w:t>
      </w:r>
      <w:r w:rsidR="008C68FD" w:rsidRPr="00DC5557">
        <w:rPr>
          <w:rFonts w:ascii="Avenir Book" w:hAnsi="Avenir Book"/>
          <w:color w:val="000000"/>
        </w:rPr>
        <w:t>the Commonwealth</w:t>
      </w:r>
      <w:r w:rsidR="000F6C1C" w:rsidRPr="00DC5557">
        <w:rPr>
          <w:rFonts w:ascii="Avenir Book" w:hAnsi="Avenir Book"/>
          <w:color w:val="000000"/>
        </w:rPr>
        <w:t>, these professionally accepted standards can provide clear guidance for a locality to implement an effective and independent public defense system.</w:t>
      </w:r>
      <w:r w:rsidR="000F6C1C" w:rsidRPr="00DC5557">
        <w:rPr>
          <w:rFonts w:ascii="Avenir Book" w:hAnsi="Avenir Book"/>
          <w:color w:val="000000"/>
          <w:vertAlign w:val="superscript"/>
        </w:rPr>
        <w:endnoteReference w:id="418"/>
      </w:r>
      <w:r w:rsidR="000F6C1C" w:rsidRPr="00DC5557">
        <w:rPr>
          <w:rFonts w:ascii="Avenir Book" w:hAnsi="Avenir Book"/>
          <w:color w:val="000000"/>
        </w:rPr>
        <w:t xml:space="preserve"> </w:t>
      </w:r>
    </w:p>
    <w:p w14:paraId="058B7086" w14:textId="77777777" w:rsidR="000F6C1C" w:rsidRDefault="000F6C1C" w:rsidP="00DC5557">
      <w:pPr>
        <w:pBdr>
          <w:top w:val="nil"/>
          <w:left w:val="nil"/>
          <w:bottom w:val="nil"/>
          <w:right w:val="nil"/>
          <w:between w:val="nil"/>
        </w:pBdr>
        <w:spacing w:line="360" w:lineRule="auto"/>
        <w:ind w:firstLine="720"/>
        <w:jc w:val="both"/>
        <w:rPr>
          <w:color w:val="000000"/>
        </w:rPr>
      </w:pPr>
      <w:r w:rsidRPr="00DC5557">
        <w:rPr>
          <w:rFonts w:ascii="Avenir Book" w:hAnsi="Avenir Book"/>
          <w:color w:val="000000"/>
        </w:rPr>
        <w:t xml:space="preserve">However, mere adoption of standards is not enough—there must be a mechanism in place to enforce them. As discussed previously, we recommend </w:t>
      </w:r>
      <w:r w:rsidR="00650258" w:rsidRPr="00DC5557">
        <w:rPr>
          <w:rFonts w:ascii="Avenir Book" w:hAnsi="Avenir Book"/>
          <w:color w:val="000000"/>
        </w:rPr>
        <w:t xml:space="preserve">that </w:t>
      </w:r>
      <w:r w:rsidRPr="00DC5557">
        <w:rPr>
          <w:rFonts w:ascii="Avenir Book" w:hAnsi="Avenir Book"/>
          <w:color w:val="000000"/>
        </w:rPr>
        <w:t xml:space="preserve">the </w:t>
      </w:r>
      <w:r w:rsidR="00650258" w:rsidRPr="00DC5557">
        <w:rPr>
          <w:rFonts w:ascii="Avenir Book" w:hAnsi="Avenir Book"/>
          <w:color w:val="000000"/>
        </w:rPr>
        <w:t xml:space="preserve">newly created </w:t>
      </w:r>
      <w:r w:rsidR="00A06446" w:rsidRPr="00DC5557">
        <w:rPr>
          <w:rFonts w:ascii="Avenir Book" w:hAnsi="Avenir Book"/>
          <w:color w:val="000000"/>
        </w:rPr>
        <w:t>Oversight Board</w:t>
      </w:r>
      <w:r w:rsidRPr="00DC5557">
        <w:rPr>
          <w:rFonts w:ascii="Avenir Book" w:hAnsi="Avenir Book"/>
          <w:color w:val="000000"/>
        </w:rPr>
        <w:t xml:space="preserve"> be responsible for monitoring compliance with these standards. </w:t>
      </w:r>
    </w:p>
    <w:p w14:paraId="2F634F1C" w14:textId="767D4B48" w:rsidR="009E5F25" w:rsidRDefault="009E5F25" w:rsidP="004F1885">
      <w:pPr>
        <w:pBdr>
          <w:top w:val="nil"/>
          <w:left w:val="nil"/>
          <w:bottom w:val="nil"/>
          <w:right w:val="nil"/>
          <w:between w:val="nil"/>
        </w:pBdr>
        <w:spacing w:line="480" w:lineRule="auto"/>
        <w:jc w:val="both"/>
        <w:rPr>
          <w:color w:val="000000"/>
        </w:rPr>
      </w:pPr>
    </w:p>
    <w:p w14:paraId="1491BF97" w14:textId="77777777" w:rsidR="00DC5557" w:rsidRDefault="000E2E79" w:rsidP="00DC5557">
      <w:pPr>
        <w:spacing w:line="480" w:lineRule="auto"/>
        <w:jc w:val="both"/>
        <w:rPr>
          <w:color w:val="000000"/>
        </w:rPr>
      </w:pPr>
      <w:r>
        <w:rPr>
          <w:noProof/>
          <w:sz w:val="10"/>
          <w:szCs w:val="10"/>
        </w:rPr>
        <w:pict w14:anchorId="02B85AF4">
          <v:rect id="_x0000_i1032" alt="" style="width:468pt;height:.05pt;mso-width-percent:0;mso-height-percent:0;mso-width-percent:0;mso-height-percent:0" o:hralign="center" o:hrstd="t" o:hr="t" fillcolor="#a0a0a0" stroked="f"/>
        </w:pict>
      </w:r>
    </w:p>
    <w:p w14:paraId="76FE67DE" w14:textId="77777777" w:rsidR="00DC5557" w:rsidRDefault="00DC5557" w:rsidP="00DC5557">
      <w:pPr>
        <w:spacing w:line="480" w:lineRule="auto"/>
        <w:jc w:val="both"/>
        <w:rPr>
          <w:color w:val="000000"/>
        </w:rPr>
      </w:pPr>
    </w:p>
    <w:p w14:paraId="6F854B0B" w14:textId="77777777" w:rsidR="00DC5557" w:rsidRDefault="00DC5557">
      <w:pPr>
        <w:spacing w:after="160" w:line="259" w:lineRule="auto"/>
        <w:rPr>
          <w:rFonts w:ascii="Avenir Book" w:hAnsi="Avenir Book"/>
          <w:color w:val="000000"/>
        </w:rPr>
      </w:pPr>
      <w:r>
        <w:rPr>
          <w:rFonts w:ascii="Avenir Book" w:hAnsi="Avenir Book"/>
          <w:color w:val="000000"/>
        </w:rPr>
        <w:br w:type="page"/>
      </w:r>
    </w:p>
    <w:p w14:paraId="0B39D3FB" w14:textId="17037B27" w:rsidR="00CC5FB6" w:rsidRPr="00DC5557" w:rsidRDefault="00CC5FB6" w:rsidP="00C70909">
      <w:pPr>
        <w:spacing w:line="360" w:lineRule="auto"/>
        <w:ind w:firstLine="720"/>
        <w:jc w:val="both"/>
        <w:rPr>
          <w:rFonts w:ascii="Avenir Book" w:hAnsi="Avenir Book"/>
        </w:rPr>
      </w:pPr>
      <w:r w:rsidRPr="00DC5557">
        <w:rPr>
          <w:rFonts w:ascii="Avenir Book" w:hAnsi="Avenir Book"/>
          <w:color w:val="000000"/>
        </w:rPr>
        <w:lastRenderedPageBreak/>
        <w:t xml:space="preserve">We </w:t>
      </w:r>
      <w:r w:rsidR="004219B9" w:rsidRPr="00DC5557">
        <w:rPr>
          <w:rFonts w:ascii="Avenir Book" w:hAnsi="Avenir Book"/>
          <w:color w:val="000000"/>
        </w:rPr>
        <w:t xml:space="preserve">present </w:t>
      </w:r>
      <w:r w:rsidRPr="00DC5557">
        <w:rPr>
          <w:rFonts w:ascii="Avenir Book" w:hAnsi="Avenir Book"/>
          <w:color w:val="000000"/>
        </w:rPr>
        <w:t>these recommendations not as criticism</w:t>
      </w:r>
      <w:r w:rsidR="00C70909">
        <w:rPr>
          <w:rFonts w:ascii="Avenir Book" w:hAnsi="Avenir Book"/>
          <w:color w:val="000000"/>
        </w:rPr>
        <w:t>,</w:t>
      </w:r>
      <w:r w:rsidRPr="00DC5557">
        <w:rPr>
          <w:rFonts w:ascii="Avenir Book" w:hAnsi="Avenir Book"/>
          <w:color w:val="000000"/>
        </w:rPr>
        <w:t xml:space="preserve"> but in the belief that they can be realistically implemented in a county</w:t>
      </w:r>
      <w:r w:rsidR="00C70909">
        <w:rPr>
          <w:rFonts w:ascii="Avenir Book" w:hAnsi="Avenir Book"/>
          <w:color w:val="000000"/>
        </w:rPr>
        <w:t xml:space="preserve">-funded </w:t>
      </w:r>
      <w:r w:rsidRPr="00DC5557">
        <w:rPr>
          <w:rFonts w:ascii="Avenir Book" w:hAnsi="Avenir Book"/>
          <w:color w:val="000000"/>
        </w:rPr>
        <w:t>model</w:t>
      </w:r>
      <w:r w:rsidR="00C70909">
        <w:rPr>
          <w:rFonts w:ascii="Avenir Book" w:hAnsi="Avenir Book"/>
          <w:color w:val="000000"/>
        </w:rPr>
        <w:t>. We believe that implementing these recommendations will</w:t>
      </w:r>
      <w:r w:rsidRPr="00DC5557">
        <w:rPr>
          <w:rFonts w:ascii="Avenir Book" w:hAnsi="Avenir Book"/>
          <w:color w:val="000000"/>
        </w:rPr>
        <w:t xml:space="preserve"> not only benefit indigent defendants, but also improve the daily work lives of county government </w:t>
      </w:r>
      <w:r w:rsidR="00C70909">
        <w:rPr>
          <w:rFonts w:ascii="Avenir Book" w:hAnsi="Avenir Book"/>
          <w:color w:val="000000"/>
        </w:rPr>
        <w:t xml:space="preserve">officials </w:t>
      </w:r>
      <w:r w:rsidRPr="00DC5557">
        <w:rPr>
          <w:rFonts w:ascii="Avenir Book" w:hAnsi="Avenir Book"/>
          <w:color w:val="000000"/>
        </w:rPr>
        <w:t>and the</w:t>
      </w:r>
      <w:r w:rsidR="00C70909">
        <w:rPr>
          <w:rFonts w:ascii="Avenir Book" w:hAnsi="Avenir Book"/>
          <w:color w:val="000000"/>
        </w:rPr>
        <w:t xml:space="preserve"> attorneys and staff at the</w:t>
      </w:r>
      <w:r w:rsidRPr="00DC5557">
        <w:rPr>
          <w:rFonts w:ascii="Avenir Book" w:hAnsi="Avenir Book"/>
          <w:color w:val="000000"/>
        </w:rPr>
        <w:t xml:space="preserve"> Office of the Public Defender. Montgomery County has taken commendable steps so far to establish a quality public defense system and improve upon it. </w:t>
      </w:r>
      <w:r w:rsidR="00C70909">
        <w:rPr>
          <w:rFonts w:ascii="Avenir Book" w:hAnsi="Avenir Book"/>
          <w:color w:val="000000"/>
        </w:rPr>
        <w:t>W</w:t>
      </w:r>
      <w:r w:rsidRPr="00DC5557">
        <w:rPr>
          <w:rFonts w:ascii="Avenir Book" w:hAnsi="Avenir Book"/>
          <w:color w:val="000000"/>
        </w:rPr>
        <w:t xml:space="preserve">e </w:t>
      </w:r>
      <w:r w:rsidR="004219B9" w:rsidRPr="00DC5557">
        <w:rPr>
          <w:rFonts w:ascii="Avenir Book" w:hAnsi="Avenir Book"/>
          <w:color w:val="000000"/>
        </w:rPr>
        <w:t>provide</w:t>
      </w:r>
      <w:r w:rsidRPr="00DC5557">
        <w:rPr>
          <w:rFonts w:ascii="Avenir Book" w:hAnsi="Avenir Book"/>
          <w:color w:val="000000"/>
        </w:rPr>
        <w:t xml:space="preserve"> these recommendations to further safeguard independence of the defense function</w:t>
      </w:r>
      <w:r w:rsidR="00C70909">
        <w:rPr>
          <w:rFonts w:ascii="Avenir Book" w:hAnsi="Avenir Book"/>
          <w:color w:val="000000"/>
        </w:rPr>
        <w:t>;</w:t>
      </w:r>
      <w:r w:rsidRPr="00DC5557">
        <w:rPr>
          <w:rFonts w:ascii="Avenir Book" w:hAnsi="Avenir Book"/>
          <w:color w:val="000000"/>
        </w:rPr>
        <w:t xml:space="preserve"> achieve adequate funding and resources needed to provide defense representation</w:t>
      </w:r>
      <w:r w:rsidR="00C70909">
        <w:rPr>
          <w:rFonts w:ascii="Avenir Book" w:hAnsi="Avenir Book"/>
          <w:color w:val="000000"/>
        </w:rPr>
        <w:t>;</w:t>
      </w:r>
      <w:r w:rsidRPr="00DC5557">
        <w:rPr>
          <w:rFonts w:ascii="Avenir Book" w:hAnsi="Avenir Book"/>
          <w:color w:val="000000"/>
        </w:rPr>
        <w:t xml:space="preserve"> and </w:t>
      </w:r>
      <w:r w:rsidR="00C70909">
        <w:rPr>
          <w:rFonts w:ascii="Avenir Book" w:hAnsi="Avenir Book"/>
          <w:color w:val="000000"/>
        </w:rPr>
        <w:t xml:space="preserve">assist the Office in </w:t>
      </w:r>
      <w:r w:rsidRPr="00DC5557">
        <w:rPr>
          <w:rFonts w:ascii="Avenir Book" w:hAnsi="Avenir Book"/>
          <w:color w:val="000000"/>
        </w:rPr>
        <w:t>comply</w:t>
      </w:r>
      <w:r w:rsidR="00C70909">
        <w:rPr>
          <w:rFonts w:ascii="Avenir Book" w:hAnsi="Avenir Book"/>
          <w:color w:val="000000"/>
        </w:rPr>
        <w:t>ing</w:t>
      </w:r>
      <w:r w:rsidRPr="00DC5557">
        <w:rPr>
          <w:rFonts w:ascii="Avenir Book" w:hAnsi="Avenir Book"/>
          <w:color w:val="000000"/>
        </w:rPr>
        <w:t xml:space="preserve"> with nationally recognized </w:t>
      </w:r>
      <w:r w:rsidR="00C70909">
        <w:rPr>
          <w:rFonts w:ascii="Avenir Book" w:hAnsi="Avenir Book"/>
          <w:color w:val="000000"/>
        </w:rPr>
        <w:t xml:space="preserve">defense </w:t>
      </w:r>
      <w:r w:rsidRPr="00DC5557">
        <w:rPr>
          <w:rFonts w:ascii="Avenir Book" w:hAnsi="Avenir Book"/>
          <w:color w:val="000000"/>
        </w:rPr>
        <w:t>standards</w:t>
      </w:r>
      <w:r w:rsidR="00C70909">
        <w:rPr>
          <w:rFonts w:ascii="Avenir Book" w:hAnsi="Avenir Book"/>
          <w:color w:val="000000"/>
        </w:rPr>
        <w:t xml:space="preserve"> and practices</w:t>
      </w:r>
      <w:r w:rsidRPr="00DC5557">
        <w:rPr>
          <w:rFonts w:ascii="Avenir Book" w:hAnsi="Avenir Book"/>
          <w:color w:val="000000"/>
        </w:rPr>
        <w:t>. With these recommendations, Montgomery County has the opportunity to establish</w:t>
      </w:r>
      <w:r w:rsidR="004F1885" w:rsidRPr="00DC5557">
        <w:rPr>
          <w:rFonts w:ascii="Avenir Book" w:hAnsi="Avenir Book"/>
          <w:color w:val="000000"/>
        </w:rPr>
        <w:t xml:space="preserve"> a leading </w:t>
      </w:r>
      <w:r w:rsidRPr="00DC5557">
        <w:rPr>
          <w:rFonts w:ascii="Avenir Book" w:hAnsi="Avenir Book"/>
          <w:color w:val="000000"/>
        </w:rPr>
        <w:t>local indigent defense model.</w:t>
      </w:r>
    </w:p>
    <w:p w14:paraId="4485F796" w14:textId="77777777" w:rsidR="000F6C1C" w:rsidRDefault="000F6C1C" w:rsidP="00CC5FB6">
      <w:pPr>
        <w:spacing w:line="480" w:lineRule="auto"/>
        <w:ind w:firstLine="720"/>
        <w:jc w:val="both"/>
      </w:pPr>
    </w:p>
    <w:p w14:paraId="62780032" w14:textId="77777777" w:rsidR="000F6C1C" w:rsidRDefault="000F6C1C">
      <w:pPr>
        <w:spacing w:line="480" w:lineRule="auto"/>
        <w:ind w:firstLine="720"/>
      </w:pPr>
    </w:p>
    <w:p w14:paraId="30AC5BAD" w14:textId="77777777" w:rsidR="000F6C1C" w:rsidRDefault="000F6C1C">
      <w:pPr>
        <w:spacing w:line="480" w:lineRule="auto"/>
        <w:ind w:firstLine="720"/>
        <w:sectPr w:rsidR="000F6C1C">
          <w:headerReference w:type="default" r:id="rId22"/>
          <w:endnotePr>
            <w:numFmt w:val="decimal"/>
          </w:endnotePr>
          <w:pgSz w:w="12240" w:h="15840"/>
          <w:pgMar w:top="1440" w:right="1440" w:bottom="1440" w:left="1440" w:header="720" w:footer="720" w:gutter="0"/>
          <w:cols w:space="720"/>
        </w:sectPr>
      </w:pPr>
    </w:p>
    <w:p w14:paraId="5F45C9B2" w14:textId="13909AFB" w:rsidR="000F6C1C" w:rsidRDefault="000E2E79" w:rsidP="00DC5557">
      <w:pPr>
        <w:pStyle w:val="Heading"/>
      </w:pPr>
      <w:bookmarkStart w:id="51" w:name="_Toc62730406"/>
      <w:r>
        <w:rPr>
          <w:noProof/>
          <w:sz w:val="10"/>
          <w:szCs w:val="10"/>
        </w:rPr>
        <w:lastRenderedPageBreak/>
        <w:pict w14:anchorId="5471F694">
          <v:rect id="_x0000_i1031" alt="" style="width:468pt;height:.05pt;mso-width-percent:0;mso-height-percent:0;mso-width-percent:0;mso-height-percent:0" o:hralign="center" o:hrstd="t" o:hr="t" fillcolor="#a0a0a0" stroked="f"/>
        </w:pict>
      </w:r>
      <w:r w:rsidR="000F6C1C">
        <w:t>CONCLUSION</w:t>
      </w:r>
      <w:bookmarkEnd w:id="51"/>
      <w:r>
        <w:rPr>
          <w:noProof/>
          <w:sz w:val="10"/>
          <w:szCs w:val="10"/>
        </w:rPr>
        <w:pict w14:anchorId="41D1F29F">
          <v:rect id="_x0000_i1030" alt="" style="width:468pt;height:.05pt;mso-width-percent:0;mso-height-percent:0;mso-width-percent:0;mso-height-percent:0" o:hralign="center" o:hrstd="t" o:hr="t" fillcolor="#a0a0a0" stroked="f"/>
        </w:pict>
      </w:r>
    </w:p>
    <w:p w14:paraId="1357A74E" w14:textId="016F0FFB" w:rsidR="00CC5FB6" w:rsidRDefault="00CC5FB6" w:rsidP="00CC5FB6">
      <w:pPr>
        <w:pBdr>
          <w:top w:val="nil"/>
          <w:left w:val="nil"/>
          <w:bottom w:val="nil"/>
          <w:right w:val="nil"/>
          <w:between w:val="nil"/>
        </w:pBdr>
        <w:spacing w:line="480" w:lineRule="auto"/>
        <w:ind w:firstLine="720"/>
        <w:jc w:val="both"/>
        <w:rPr>
          <w:color w:val="000000"/>
        </w:rPr>
      </w:pPr>
    </w:p>
    <w:p w14:paraId="1CC4B041" w14:textId="1BEAEF1A" w:rsidR="00A44A4F" w:rsidRPr="00DC5557" w:rsidRDefault="00645392" w:rsidP="00DC5557">
      <w:pPr>
        <w:pStyle w:val="FirstSentencePops"/>
      </w:pPr>
      <w:r w:rsidRPr="00DC5557">
        <w:t xml:space="preserve">Public defenders are critical to the guarantee of equal justice for all.  </w:t>
      </w:r>
      <w:r w:rsidRPr="00DC5557">
        <w:rPr>
          <w:rFonts w:ascii="Avenir Book" w:hAnsi="Avenir Book"/>
          <w:color w:val="262626" w:themeColor="text1" w:themeTint="D9"/>
        </w:rPr>
        <w:t>They ensure that the poor and needy, the disenfranchise</w:t>
      </w:r>
      <w:r w:rsidR="000966F8" w:rsidRPr="00DC5557">
        <w:rPr>
          <w:rFonts w:ascii="Avenir Book" w:hAnsi="Avenir Book"/>
          <w:color w:val="262626" w:themeColor="text1" w:themeTint="D9"/>
        </w:rPr>
        <w:t>d</w:t>
      </w:r>
      <w:r w:rsidRPr="00DC5557">
        <w:rPr>
          <w:rFonts w:ascii="Avenir Book" w:hAnsi="Avenir Book"/>
          <w:color w:val="262626" w:themeColor="text1" w:themeTint="D9"/>
        </w:rPr>
        <w:t>, the impaired and ill</w:t>
      </w:r>
      <w:r w:rsidR="000966F8" w:rsidRPr="00DC5557">
        <w:rPr>
          <w:rFonts w:ascii="Avenir Book" w:hAnsi="Avenir Book"/>
          <w:color w:val="262626" w:themeColor="text1" w:themeTint="D9"/>
        </w:rPr>
        <w:t>, all have access to the courts. A public defender office and its members are also critical voices and resources for system improvement. Our review of the Montgomery County Public Defender has shown that over the years the County Commissioners have provided important financial and administrative support for that Office, and that the Office has embraced professionalism, community outreach, aspects of holistic defense, and an awareness of the need for system reform.</w:t>
      </w:r>
    </w:p>
    <w:p w14:paraId="7EA57EA1" w14:textId="4EE1744F" w:rsidR="000966F8" w:rsidRPr="00DC5557" w:rsidRDefault="000966F8" w:rsidP="00DC5557">
      <w:pPr>
        <w:pBdr>
          <w:top w:val="nil"/>
          <w:left w:val="nil"/>
          <w:bottom w:val="nil"/>
          <w:right w:val="nil"/>
          <w:between w:val="nil"/>
        </w:pBdr>
        <w:spacing w:line="360" w:lineRule="auto"/>
        <w:ind w:firstLine="720"/>
        <w:jc w:val="both"/>
        <w:rPr>
          <w:rFonts w:ascii="Avenir Book" w:hAnsi="Avenir Book"/>
          <w:color w:val="000000"/>
        </w:rPr>
      </w:pPr>
      <w:r w:rsidRPr="00DC5557">
        <w:rPr>
          <w:rFonts w:ascii="Avenir Book" w:hAnsi="Avenir Book"/>
          <w:color w:val="000000"/>
        </w:rPr>
        <w:t xml:space="preserve">This report was drafted in that context, but also with awareness of the need to find new structures and internal systems to assure Defender independence, support the County administration, and move beyond the friction that arose following the dismissal of the Office leadership in March 2020.  The reforms proposed – most particularly the creation of an Oversight Board, the development of internal operating procedures, continued funding increases, use of a case management system and a computerized resource database, </w:t>
      </w:r>
      <w:r w:rsidR="001F1492" w:rsidRPr="00DC5557">
        <w:rPr>
          <w:rFonts w:ascii="Avenir Book" w:hAnsi="Avenir Book"/>
          <w:color w:val="000000"/>
        </w:rPr>
        <w:t xml:space="preserve">rethinking attorney assignments, </w:t>
      </w:r>
      <w:r w:rsidRPr="00DC5557">
        <w:rPr>
          <w:rFonts w:ascii="Avenir Book" w:hAnsi="Avenir Book"/>
          <w:color w:val="000000"/>
        </w:rPr>
        <w:t>and assigning a Human Res</w:t>
      </w:r>
      <w:r w:rsidR="001F1492" w:rsidRPr="00DC5557">
        <w:rPr>
          <w:rFonts w:ascii="Avenir Book" w:hAnsi="Avenir Book"/>
          <w:color w:val="000000"/>
        </w:rPr>
        <w:t>ources professional</w:t>
      </w:r>
      <w:r w:rsidRPr="00DC5557">
        <w:rPr>
          <w:rFonts w:ascii="Avenir Book" w:hAnsi="Avenir Book"/>
          <w:color w:val="000000"/>
        </w:rPr>
        <w:t xml:space="preserve"> </w:t>
      </w:r>
      <w:r w:rsidR="001F1492" w:rsidRPr="00DC5557">
        <w:rPr>
          <w:rFonts w:ascii="Avenir Book" w:hAnsi="Avenir Book"/>
          <w:color w:val="000000"/>
        </w:rPr>
        <w:t>to the Office – will permit the Defender to continue to improve its representation of indigent defendants, serve the County well, and reduce the risk of any legal challenges to the manner in which indigent defense representation is provided i</w:t>
      </w:r>
      <w:r w:rsidR="007811A7" w:rsidRPr="00DC5557">
        <w:rPr>
          <w:rFonts w:ascii="Avenir Book" w:hAnsi="Avenir Book"/>
          <w:color w:val="000000"/>
        </w:rPr>
        <w:t>n Montgomery County.</w:t>
      </w:r>
    </w:p>
    <w:p w14:paraId="0AA759A2" w14:textId="69500373" w:rsidR="007811A7" w:rsidRPr="00DC5557" w:rsidRDefault="007811A7" w:rsidP="00DC5557">
      <w:pPr>
        <w:pBdr>
          <w:top w:val="nil"/>
          <w:left w:val="nil"/>
          <w:bottom w:val="nil"/>
          <w:right w:val="nil"/>
          <w:between w:val="nil"/>
        </w:pBdr>
        <w:spacing w:line="360" w:lineRule="auto"/>
        <w:ind w:firstLine="720"/>
        <w:jc w:val="both"/>
        <w:rPr>
          <w:rFonts w:ascii="Avenir Book" w:hAnsi="Avenir Book"/>
          <w:color w:val="000000"/>
        </w:rPr>
      </w:pPr>
      <w:r w:rsidRPr="00DC5557">
        <w:rPr>
          <w:rFonts w:ascii="Avenir Book" w:hAnsi="Avenir Book"/>
          <w:color w:val="000000"/>
        </w:rPr>
        <w:t xml:space="preserve">We are also cognizant of the fact that this is a burden that should be that of the Commonwealth and not the county.  </w:t>
      </w:r>
      <w:r w:rsidR="000F6C1C" w:rsidRPr="00DC5557">
        <w:rPr>
          <w:rFonts w:ascii="Avenir Book" w:hAnsi="Avenir Book"/>
          <w:color w:val="000000"/>
        </w:rPr>
        <w:t xml:space="preserve">Montgomery County oversees and funds all of the trial- and appellate-level indigent defense services in the county, with no assistance from </w:t>
      </w:r>
      <w:r w:rsidR="000F6C1C" w:rsidRPr="00DC5557">
        <w:rPr>
          <w:rFonts w:ascii="Avenir Book" w:hAnsi="Avenir Book"/>
          <w:color w:val="000000"/>
        </w:rPr>
        <w:lastRenderedPageBreak/>
        <w:t>the state government.</w:t>
      </w:r>
      <w:r w:rsidR="000F6C1C" w:rsidRPr="00DC5557">
        <w:rPr>
          <w:rFonts w:ascii="Avenir Book" w:hAnsi="Avenir Book"/>
          <w:color w:val="000000"/>
          <w:vertAlign w:val="superscript"/>
        </w:rPr>
        <w:endnoteReference w:id="419"/>
      </w:r>
      <w:r w:rsidR="000F6C1C" w:rsidRPr="00DC5557">
        <w:rPr>
          <w:rFonts w:ascii="Avenir Book" w:hAnsi="Avenir Book"/>
          <w:color w:val="000000"/>
        </w:rPr>
        <w:t xml:space="preserve"> The Pennsylvania legislature has decided to displace all indigent defense responsibility, including funding and oversight, with the counties.</w:t>
      </w:r>
      <w:r w:rsidR="000F6C1C" w:rsidRPr="00DC5557">
        <w:rPr>
          <w:rFonts w:ascii="Avenir Book" w:hAnsi="Avenir Book"/>
          <w:color w:val="000000"/>
          <w:vertAlign w:val="superscript"/>
        </w:rPr>
        <w:endnoteReference w:id="420"/>
      </w:r>
      <w:r w:rsidR="000F6C1C" w:rsidRPr="00DC5557">
        <w:rPr>
          <w:rFonts w:ascii="Avenir Book" w:hAnsi="Avenir Book"/>
          <w:color w:val="000000"/>
        </w:rPr>
        <w:t xml:space="preserve"> For lack of better words, Montgomery County is “stuck” with the system that has been statutorily created. </w:t>
      </w:r>
    </w:p>
    <w:p w14:paraId="24BA158F" w14:textId="0E0EEA2B" w:rsidR="000F6C1C" w:rsidRPr="00DC5557" w:rsidRDefault="000F6C1C" w:rsidP="00DC5557">
      <w:pPr>
        <w:pBdr>
          <w:top w:val="nil"/>
          <w:left w:val="nil"/>
          <w:bottom w:val="nil"/>
          <w:right w:val="nil"/>
          <w:between w:val="nil"/>
        </w:pBdr>
        <w:spacing w:line="360" w:lineRule="auto"/>
        <w:ind w:firstLine="720"/>
        <w:jc w:val="both"/>
        <w:rPr>
          <w:rFonts w:ascii="Avenir Book" w:hAnsi="Avenir Book"/>
          <w:color w:val="000000"/>
        </w:rPr>
      </w:pPr>
      <w:r w:rsidRPr="00DC5557">
        <w:rPr>
          <w:rFonts w:ascii="Avenir Book" w:hAnsi="Avenir Book"/>
          <w:i/>
          <w:color w:val="000000"/>
        </w:rPr>
        <w:t>Gideon’s</w:t>
      </w:r>
      <w:r w:rsidRPr="00DC5557">
        <w:rPr>
          <w:rFonts w:ascii="Avenir Book" w:hAnsi="Avenir Book"/>
          <w:color w:val="000000"/>
        </w:rPr>
        <w:t xml:space="preserve"> mandate places public defense responsibility on the </w:t>
      </w:r>
      <w:r w:rsidRPr="00DC5557">
        <w:rPr>
          <w:rFonts w:ascii="Avenir Book" w:hAnsi="Avenir Book"/>
          <w:i/>
          <w:color w:val="000000"/>
        </w:rPr>
        <w:t>state</w:t>
      </w:r>
      <w:r w:rsidRPr="00DC5557">
        <w:rPr>
          <w:rFonts w:ascii="Avenir Book" w:hAnsi="Avenir Book"/>
          <w:color w:val="000000"/>
        </w:rPr>
        <w:t>.</w:t>
      </w:r>
      <w:r w:rsidRPr="00DC5557">
        <w:rPr>
          <w:rFonts w:ascii="Avenir Book" w:hAnsi="Avenir Book"/>
          <w:color w:val="000000"/>
          <w:vertAlign w:val="superscript"/>
        </w:rPr>
        <w:endnoteReference w:id="421"/>
      </w:r>
      <w:r w:rsidRPr="00DC5557">
        <w:rPr>
          <w:rFonts w:ascii="Avenir Book" w:hAnsi="Avenir Book"/>
          <w:color w:val="000000"/>
        </w:rPr>
        <w:t xml:space="preserve"> That public defense is a state responsibility, and therefore the state should be involved in both funding and oversight of the services provided, is well-recognized throughout the professional community.</w:t>
      </w:r>
      <w:r w:rsidRPr="00DC5557">
        <w:rPr>
          <w:rFonts w:ascii="Avenir Book" w:hAnsi="Avenir Book"/>
          <w:color w:val="000000"/>
          <w:vertAlign w:val="superscript"/>
        </w:rPr>
        <w:endnoteReference w:id="422"/>
      </w:r>
      <w:r w:rsidRPr="00DC5557">
        <w:rPr>
          <w:rFonts w:ascii="Avenir Book" w:hAnsi="Avenir Book"/>
          <w:color w:val="000000"/>
        </w:rPr>
        <w:t xml:space="preserve"> Therefore, our final recommendation is that Montgomery County join the chorus of voices throughout the state advocating for Pennsylvania’s adoption of an official statewide model.</w:t>
      </w:r>
    </w:p>
    <w:p w14:paraId="11D9C799" w14:textId="1EE36FBF" w:rsidR="000F6C1C" w:rsidRPr="00DC5557" w:rsidRDefault="000F6C1C" w:rsidP="00DC5557">
      <w:pPr>
        <w:pBdr>
          <w:top w:val="nil"/>
          <w:left w:val="nil"/>
          <w:bottom w:val="nil"/>
          <w:right w:val="nil"/>
          <w:between w:val="nil"/>
        </w:pBdr>
        <w:spacing w:line="360" w:lineRule="auto"/>
        <w:ind w:firstLine="720"/>
        <w:jc w:val="both"/>
        <w:rPr>
          <w:rFonts w:ascii="Avenir Book" w:hAnsi="Avenir Book"/>
          <w:color w:val="000000"/>
        </w:rPr>
      </w:pPr>
      <w:r w:rsidRPr="00DC5557">
        <w:rPr>
          <w:rFonts w:ascii="Avenir Book" w:hAnsi="Avenir Book"/>
          <w:color w:val="000000"/>
        </w:rPr>
        <w:t>Housing indigent defense at the state level helps to ensure that there are no disparities in representation provided from county to county.</w:t>
      </w:r>
      <w:r w:rsidRPr="00DC5557">
        <w:rPr>
          <w:rFonts w:ascii="Avenir Book" w:hAnsi="Avenir Book"/>
          <w:color w:val="000000"/>
          <w:vertAlign w:val="superscript"/>
        </w:rPr>
        <w:endnoteReference w:id="423"/>
      </w:r>
      <w:r w:rsidRPr="00DC5557">
        <w:rPr>
          <w:rFonts w:ascii="Avenir Book" w:hAnsi="Avenir Book"/>
          <w:color w:val="000000"/>
        </w:rPr>
        <w:t xml:space="preserve"> The state would provide centralized administration to ensure “services are consistent in quality, efficiency, effectiveness, and that the same standards are applied in all subdivisions throughout the state.”</w:t>
      </w:r>
      <w:r w:rsidRPr="00DC5557">
        <w:rPr>
          <w:rFonts w:ascii="Avenir Book" w:hAnsi="Avenir Book"/>
          <w:color w:val="000000"/>
          <w:vertAlign w:val="superscript"/>
        </w:rPr>
        <w:endnoteReference w:id="424"/>
      </w:r>
      <w:r w:rsidRPr="00DC5557">
        <w:rPr>
          <w:rFonts w:ascii="Avenir Book" w:hAnsi="Avenir Book"/>
          <w:color w:val="000000"/>
        </w:rPr>
        <w:t xml:space="preserve"> Additionally, the state would take direct responsibility for complying with </w:t>
      </w:r>
      <w:r w:rsidRPr="00DC5557">
        <w:rPr>
          <w:rFonts w:ascii="Avenir Book" w:hAnsi="Avenir Book"/>
          <w:i/>
          <w:color w:val="000000"/>
        </w:rPr>
        <w:t>Gideon</w:t>
      </w:r>
      <w:r w:rsidRPr="00DC5557">
        <w:rPr>
          <w:rFonts w:ascii="Avenir Book" w:hAnsi="Avenir Book"/>
          <w:color w:val="000000"/>
        </w:rPr>
        <w:t xml:space="preserve"> rather than relying on the counties to do so.</w:t>
      </w:r>
    </w:p>
    <w:p w14:paraId="6ACAF858" w14:textId="3AAAF233" w:rsidR="00D507F8" w:rsidRPr="00DC5557" w:rsidRDefault="000F6C1C" w:rsidP="00DC5557">
      <w:pPr>
        <w:pBdr>
          <w:top w:val="nil"/>
          <w:left w:val="nil"/>
          <w:bottom w:val="nil"/>
          <w:right w:val="nil"/>
          <w:between w:val="nil"/>
        </w:pBdr>
        <w:spacing w:line="360" w:lineRule="auto"/>
        <w:ind w:firstLine="720"/>
        <w:jc w:val="both"/>
        <w:rPr>
          <w:rFonts w:ascii="Avenir Book" w:hAnsi="Avenir Book"/>
          <w:color w:val="000000"/>
        </w:rPr>
      </w:pPr>
      <w:r w:rsidRPr="00DC5557">
        <w:rPr>
          <w:rFonts w:ascii="Avenir Book" w:hAnsi="Avenir Book"/>
          <w:color w:val="000000"/>
        </w:rPr>
        <w:t xml:space="preserve">Moving to a statewide model would help insulate indigent defense operations from </w:t>
      </w:r>
      <w:r w:rsidR="00AA23D5" w:rsidRPr="00DC5557">
        <w:rPr>
          <w:rFonts w:ascii="Avenir Book" w:hAnsi="Avenir Book"/>
          <w:color w:val="000000"/>
        </w:rPr>
        <w:t xml:space="preserve">local </w:t>
      </w:r>
      <w:r w:rsidRPr="00DC5557">
        <w:rPr>
          <w:rFonts w:ascii="Avenir Book" w:hAnsi="Avenir Book"/>
          <w:color w:val="000000"/>
        </w:rPr>
        <w:t>political influence.</w:t>
      </w:r>
      <w:r w:rsidRPr="00DC5557">
        <w:rPr>
          <w:rFonts w:ascii="Avenir Book" w:hAnsi="Avenir Book"/>
          <w:color w:val="000000"/>
          <w:vertAlign w:val="superscript"/>
        </w:rPr>
        <w:endnoteReference w:id="425"/>
      </w:r>
      <w:r w:rsidRPr="00DC5557">
        <w:rPr>
          <w:rFonts w:ascii="Avenir Book" w:hAnsi="Avenir Book"/>
          <w:color w:val="000000"/>
        </w:rPr>
        <w:t xml:space="preserve"> T</w:t>
      </w:r>
      <w:r w:rsidR="00D507F8" w:rsidRPr="00DC5557">
        <w:rPr>
          <w:rFonts w:ascii="Avenir Book" w:hAnsi="Avenir Book"/>
          <w:color w:val="000000"/>
        </w:rPr>
        <w:t xml:space="preserve">his model would help alleviate the great financial burden of funding indigent defense operations. Further, shifting the responsibility from the county to the state would reduce the workloads of the Board of Commissioners and protect them from any criticism and legal action regarding public defense activities. While </w:t>
      </w:r>
      <w:r w:rsidR="00D507F8" w:rsidRPr="00DC5557">
        <w:rPr>
          <w:rFonts w:ascii="Avenir Book" w:hAnsi="Avenir Book"/>
        </w:rPr>
        <w:t>this is not</w:t>
      </w:r>
      <w:r w:rsidR="00D507F8" w:rsidRPr="00DC5557">
        <w:rPr>
          <w:rFonts w:ascii="Avenir Book" w:hAnsi="Avenir Book"/>
          <w:color w:val="000000"/>
        </w:rPr>
        <w:t xml:space="preserve"> possible under Pennsylvania’s current legal framework, advocating for </w:t>
      </w:r>
      <w:r w:rsidR="00AA23D5" w:rsidRPr="00DC5557">
        <w:rPr>
          <w:rFonts w:ascii="Avenir Book" w:hAnsi="Avenir Book"/>
          <w:color w:val="000000"/>
        </w:rPr>
        <w:t>legislative</w:t>
      </w:r>
      <w:r w:rsidR="00D507F8" w:rsidRPr="00DC5557">
        <w:rPr>
          <w:rFonts w:ascii="Avenir Book" w:hAnsi="Avenir Book"/>
          <w:color w:val="000000"/>
        </w:rPr>
        <w:t xml:space="preserve"> change is in the best interest of Montgomery County’s indigent accused population</w:t>
      </w:r>
      <w:r w:rsidR="00746166" w:rsidRPr="00DC5557">
        <w:rPr>
          <w:rFonts w:ascii="Avenir Book" w:hAnsi="Avenir Book"/>
          <w:color w:val="000000"/>
        </w:rPr>
        <w:t>, county government, and broader community</w:t>
      </w:r>
      <w:r w:rsidR="00D507F8" w:rsidRPr="00DC5557">
        <w:rPr>
          <w:rFonts w:ascii="Avenir Book" w:hAnsi="Avenir Book"/>
          <w:color w:val="000000"/>
        </w:rPr>
        <w:t>.</w:t>
      </w:r>
    </w:p>
    <w:p w14:paraId="07A637EA" w14:textId="419A8016" w:rsidR="00D507F8" w:rsidRPr="00DC5557" w:rsidRDefault="00D507F8" w:rsidP="00DC5557">
      <w:pPr>
        <w:pBdr>
          <w:top w:val="nil"/>
          <w:left w:val="nil"/>
          <w:bottom w:val="nil"/>
          <w:right w:val="nil"/>
          <w:between w:val="nil"/>
        </w:pBdr>
        <w:spacing w:line="360" w:lineRule="auto"/>
        <w:ind w:firstLine="720"/>
        <w:jc w:val="both"/>
        <w:rPr>
          <w:rFonts w:ascii="Avenir Book" w:hAnsi="Avenir Book"/>
          <w:color w:val="000000"/>
        </w:rPr>
      </w:pPr>
      <w:r w:rsidRPr="00DC5557">
        <w:rPr>
          <w:rFonts w:ascii="Avenir Book" w:hAnsi="Avenir Book"/>
          <w:color w:val="000000"/>
        </w:rPr>
        <w:t xml:space="preserve">Ideally, </w:t>
      </w:r>
      <w:r w:rsidR="00AA23D5" w:rsidRPr="00DC5557">
        <w:rPr>
          <w:rFonts w:ascii="Avenir Book" w:hAnsi="Avenir Book"/>
          <w:color w:val="000000"/>
        </w:rPr>
        <w:t>such legislation</w:t>
      </w:r>
      <w:r w:rsidRPr="00DC5557">
        <w:rPr>
          <w:rFonts w:ascii="Avenir Book" w:hAnsi="Avenir Book"/>
          <w:color w:val="000000"/>
        </w:rPr>
        <w:t xml:space="preserve"> should also provide for creation of an independent statewide </w:t>
      </w:r>
      <w:r w:rsidR="00A06446" w:rsidRPr="00DC5557">
        <w:rPr>
          <w:rFonts w:ascii="Avenir Book" w:hAnsi="Avenir Book"/>
          <w:color w:val="000000"/>
        </w:rPr>
        <w:t>Oversight Board</w:t>
      </w:r>
      <w:r w:rsidRPr="00DC5557">
        <w:rPr>
          <w:rFonts w:ascii="Avenir Book" w:hAnsi="Avenir Book"/>
          <w:color w:val="000000"/>
        </w:rPr>
        <w:t xml:space="preserve"> with the authority to promulgate, monitor compliance with, </w:t>
      </w:r>
      <w:r w:rsidRPr="00DC5557">
        <w:rPr>
          <w:rFonts w:ascii="Avenir Book" w:hAnsi="Avenir Book"/>
          <w:color w:val="000000"/>
        </w:rPr>
        <w:lastRenderedPageBreak/>
        <w:t xml:space="preserve">and enforce quality and ethical standards. The </w:t>
      </w:r>
      <w:r w:rsidR="00AA23D5" w:rsidRPr="00DC5557">
        <w:rPr>
          <w:rFonts w:ascii="Avenir Book" w:hAnsi="Avenir Book"/>
          <w:color w:val="000000"/>
        </w:rPr>
        <w:t xml:space="preserve">legislation </w:t>
      </w:r>
      <w:r w:rsidRPr="00DC5557">
        <w:rPr>
          <w:rFonts w:ascii="Avenir Book" w:hAnsi="Avenir Book"/>
          <w:color w:val="000000"/>
        </w:rPr>
        <w:t xml:space="preserve">should also codify the minimum standards that all offices must follow. </w:t>
      </w:r>
      <w:r w:rsidR="00805D69" w:rsidRPr="00DC5557">
        <w:rPr>
          <w:rFonts w:ascii="Avenir Book" w:hAnsi="Avenir Book"/>
          <w:color w:val="000000"/>
        </w:rPr>
        <w:t xml:space="preserve"> </w:t>
      </w:r>
    </w:p>
    <w:p w14:paraId="0EBBCDE0" w14:textId="25D707F2" w:rsidR="00D507F8" w:rsidRPr="00DC5557" w:rsidRDefault="007811A7" w:rsidP="00DC5557">
      <w:pPr>
        <w:pBdr>
          <w:top w:val="nil"/>
          <w:left w:val="nil"/>
          <w:bottom w:val="nil"/>
          <w:right w:val="nil"/>
          <w:between w:val="nil"/>
        </w:pBdr>
        <w:spacing w:line="360" w:lineRule="auto"/>
        <w:ind w:firstLine="720"/>
        <w:jc w:val="both"/>
        <w:rPr>
          <w:rFonts w:ascii="Avenir Book" w:hAnsi="Avenir Book"/>
          <w:color w:val="000000"/>
        </w:rPr>
      </w:pPr>
      <w:r w:rsidRPr="00DC5557">
        <w:rPr>
          <w:rFonts w:ascii="Avenir Book" w:hAnsi="Avenir Book"/>
          <w:color w:val="000000"/>
        </w:rPr>
        <w:t>Until such a change occurs, the recommendations offered in this Report are feasible, minimally costly, and will permit</w:t>
      </w:r>
      <w:r w:rsidR="00D507F8" w:rsidRPr="00DC5557">
        <w:rPr>
          <w:rFonts w:ascii="Avenir Book" w:hAnsi="Avenir Book"/>
          <w:color w:val="000000"/>
        </w:rPr>
        <w:t xml:space="preserve"> Montgomery County</w:t>
      </w:r>
      <w:r w:rsidRPr="00DC5557">
        <w:rPr>
          <w:rFonts w:ascii="Avenir Book" w:hAnsi="Avenir Book"/>
          <w:color w:val="000000"/>
        </w:rPr>
        <w:t xml:space="preserve"> to meet it</w:t>
      </w:r>
      <w:r w:rsidR="00746166" w:rsidRPr="00DC5557">
        <w:rPr>
          <w:rFonts w:ascii="Avenir Book" w:hAnsi="Avenir Book"/>
          <w:color w:val="000000"/>
        </w:rPr>
        <w:t>s</w:t>
      </w:r>
      <w:r w:rsidR="00D507F8" w:rsidRPr="00DC5557">
        <w:rPr>
          <w:rFonts w:ascii="Avenir Book" w:hAnsi="Avenir Book"/>
          <w:color w:val="000000"/>
        </w:rPr>
        <w:t xml:space="preserve"> constitutional duty to provide quality and ethical defense representation to the indigent members of its community. </w:t>
      </w:r>
    </w:p>
    <w:p w14:paraId="01EFDC3F" w14:textId="77777777" w:rsidR="003720F4" w:rsidRDefault="003720F4">
      <w:pPr>
        <w:spacing w:line="480" w:lineRule="auto"/>
        <w:ind w:firstLine="720"/>
      </w:pPr>
    </w:p>
    <w:p w14:paraId="69E0FFF3" w14:textId="77777777" w:rsidR="003720F4" w:rsidRDefault="003720F4">
      <w:pPr>
        <w:spacing w:line="480" w:lineRule="auto"/>
        <w:ind w:firstLine="720"/>
      </w:pPr>
    </w:p>
    <w:p w14:paraId="77C80DC7" w14:textId="77777777" w:rsidR="003720F4" w:rsidRDefault="003720F4">
      <w:pPr>
        <w:spacing w:line="480" w:lineRule="auto"/>
        <w:ind w:firstLine="720"/>
      </w:pPr>
    </w:p>
    <w:p w14:paraId="50C58FD7" w14:textId="77777777" w:rsidR="003720F4" w:rsidRDefault="003720F4">
      <w:pPr>
        <w:spacing w:line="480" w:lineRule="auto"/>
        <w:ind w:firstLine="720"/>
        <w:sectPr w:rsidR="003720F4">
          <w:headerReference w:type="default" r:id="rId23"/>
          <w:endnotePr>
            <w:numFmt w:val="decimal"/>
          </w:endnotePr>
          <w:pgSz w:w="12240" w:h="15840"/>
          <w:pgMar w:top="1440" w:right="1440" w:bottom="1440" w:left="1440" w:header="720" w:footer="720" w:gutter="0"/>
          <w:cols w:space="720"/>
        </w:sectPr>
      </w:pPr>
    </w:p>
    <w:p w14:paraId="23A3B41F" w14:textId="72DDCC23" w:rsidR="00071370" w:rsidRDefault="000E2E79" w:rsidP="00B87E7D">
      <w:pPr>
        <w:pStyle w:val="Heading"/>
      </w:pPr>
      <w:bookmarkStart w:id="52" w:name="_Toc62730407"/>
      <w:r>
        <w:rPr>
          <w:noProof/>
          <w:sz w:val="10"/>
          <w:szCs w:val="10"/>
        </w:rPr>
        <w:lastRenderedPageBreak/>
        <w:pict w14:anchorId="6F96B7CC">
          <v:rect id="_x0000_i1029" alt="" style="width:468pt;height:.05pt;mso-width-percent:0;mso-height-percent:0;mso-width-percent:0;mso-height-percent:0" o:hralign="center" o:hrstd="t" o:hr="t" fillcolor="#a0a0a0" stroked="f"/>
        </w:pict>
      </w:r>
      <w:r w:rsidR="00071370">
        <w:t>APPENDICES</w:t>
      </w:r>
      <w:bookmarkEnd w:id="52"/>
      <w:r>
        <w:rPr>
          <w:noProof/>
          <w:sz w:val="10"/>
          <w:szCs w:val="10"/>
        </w:rPr>
        <w:pict w14:anchorId="0FFE9A82">
          <v:rect id="_x0000_i1028" alt="" style="width:468pt;height:.05pt;mso-width-percent:0;mso-height-percent:0;mso-width-percent:0;mso-height-percent:0" o:hralign="center" o:hrstd="t" o:hr="t" fillcolor="#a0a0a0" stroked="f"/>
        </w:pict>
      </w:r>
    </w:p>
    <w:p w14:paraId="0398494A" w14:textId="0EA2ADE1" w:rsidR="00141608" w:rsidRPr="004A39D5" w:rsidRDefault="00DC5557" w:rsidP="00DC5557">
      <w:pPr>
        <w:pStyle w:val="head4"/>
        <w:jc w:val="center"/>
      </w:pPr>
      <w:r w:rsidRPr="00DC5557">
        <w:rPr>
          <w:b w:val="0"/>
          <w:bCs w:val="0"/>
          <w:i w:val="0"/>
          <w:iCs w:val="0"/>
        </w:rPr>
        <w:t>-</w:t>
      </w:r>
      <w:r>
        <w:t xml:space="preserve"> </w:t>
      </w:r>
      <w:r w:rsidR="00141608" w:rsidRPr="00141608">
        <w:t>APPENDIX 1</w:t>
      </w:r>
      <w:r>
        <w:t xml:space="preserve"> -</w:t>
      </w:r>
    </w:p>
    <w:p w14:paraId="105345B4" w14:textId="77777777" w:rsidR="00141608" w:rsidRPr="00EA3D8B" w:rsidRDefault="00141608" w:rsidP="00141608">
      <w:pPr>
        <w:autoSpaceDE w:val="0"/>
        <w:autoSpaceDN w:val="0"/>
        <w:adjustRightInd w:val="0"/>
        <w:jc w:val="center"/>
        <w:rPr>
          <w:rFonts w:ascii="Avenir Book" w:hAnsi="Avenir Book" w:cs="Trajan-Regular"/>
        </w:rPr>
      </w:pPr>
      <w:r w:rsidRPr="00EA3D8B">
        <w:rPr>
          <w:rFonts w:ascii="Avenir Book" w:hAnsi="Avenir Book" w:cs="Trajan-Regular"/>
        </w:rPr>
        <w:t>ABA Ten Principles</w:t>
      </w:r>
    </w:p>
    <w:p w14:paraId="65A5C608" w14:textId="77777777" w:rsidR="00141608" w:rsidRPr="00EA3D8B" w:rsidRDefault="00141608" w:rsidP="00141608">
      <w:pPr>
        <w:autoSpaceDE w:val="0"/>
        <w:autoSpaceDN w:val="0"/>
        <w:adjustRightInd w:val="0"/>
        <w:jc w:val="center"/>
        <w:rPr>
          <w:rFonts w:ascii="Avenir Book" w:hAnsi="Avenir Book" w:cs="Trajan-Regular"/>
        </w:rPr>
      </w:pPr>
      <w:r w:rsidRPr="00EA3D8B">
        <w:rPr>
          <w:rFonts w:ascii="Avenir Book" w:hAnsi="Avenir Book" w:cs="Trajan-Regular"/>
        </w:rPr>
        <w:t>Of A Public Defense Delivery System</w:t>
      </w:r>
    </w:p>
    <w:p w14:paraId="31E97154" w14:textId="23AB113A" w:rsidR="00141608" w:rsidRPr="00EA3D8B" w:rsidRDefault="00141608" w:rsidP="00141608">
      <w:pPr>
        <w:spacing w:line="480" w:lineRule="auto"/>
        <w:jc w:val="center"/>
        <w:rPr>
          <w:rFonts w:ascii="Avenir Book" w:hAnsi="Avenir Book"/>
        </w:rPr>
      </w:pPr>
      <w:r w:rsidRPr="00EA3D8B">
        <w:rPr>
          <w:rFonts w:ascii="Avenir Book" w:hAnsi="Avenir Book" w:cs="Trajan-Regular"/>
          <w:i/>
          <w:iCs/>
        </w:rPr>
        <w:t xml:space="preserve">B l a c k L e t </w:t>
      </w:r>
      <w:proofErr w:type="spellStart"/>
      <w:r w:rsidRPr="00EA3D8B">
        <w:rPr>
          <w:rFonts w:ascii="Avenir Book" w:hAnsi="Avenir Book" w:cs="Trajan-Regular"/>
          <w:i/>
          <w:iCs/>
        </w:rPr>
        <w:t>t</w:t>
      </w:r>
      <w:proofErr w:type="spellEnd"/>
      <w:r w:rsidRPr="00EA3D8B">
        <w:rPr>
          <w:rFonts w:ascii="Avenir Book" w:hAnsi="Avenir Book" w:cs="Trajan-Regular"/>
          <w:i/>
          <w:iCs/>
        </w:rPr>
        <w:t xml:space="preserve"> e 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41608" w14:paraId="2A1FBFDB" w14:textId="77777777" w:rsidTr="004A39D5">
        <w:trPr>
          <w:trHeight w:val="104"/>
        </w:trPr>
        <w:tc>
          <w:tcPr>
            <w:tcW w:w="4675" w:type="dxa"/>
          </w:tcPr>
          <w:p w14:paraId="47C39E63" w14:textId="46B64496" w:rsidR="00141608" w:rsidRDefault="00141608" w:rsidP="00141608">
            <w:pPr>
              <w:autoSpaceDE w:val="0"/>
              <w:autoSpaceDN w:val="0"/>
              <w:adjustRightInd w:val="0"/>
              <w:rPr>
                <w:rFonts w:ascii="Semibold" w:hAnsi="Semibold" w:cs="Semibold"/>
                <w:b/>
                <w:bCs/>
                <w:color w:val="000000"/>
                <w:sz w:val="19"/>
                <w:szCs w:val="19"/>
              </w:rPr>
            </w:pPr>
            <w:r>
              <w:rPr>
                <w:rFonts w:ascii="Semibold" w:hAnsi="Semibold" w:cs="Semibold"/>
                <w:b/>
                <w:bCs/>
                <w:color w:val="E7E7E7"/>
                <w:sz w:val="90"/>
                <w:szCs w:val="90"/>
              </w:rPr>
              <w:t>1</w:t>
            </w:r>
            <w:r>
              <w:rPr>
                <w:rFonts w:ascii="Semibold" w:hAnsi="Semibold" w:cs="Semibold"/>
                <w:b/>
                <w:bCs/>
                <w:color w:val="000000"/>
                <w:sz w:val="19"/>
                <w:szCs w:val="19"/>
              </w:rPr>
              <w:t>The public defense function,</w:t>
            </w:r>
            <w:r w:rsidR="00B87E7D">
              <w:rPr>
                <w:rFonts w:ascii="Semibold" w:hAnsi="Semibold" w:cs="Semibold"/>
                <w:b/>
                <w:bCs/>
                <w:color w:val="000000"/>
                <w:sz w:val="19"/>
                <w:szCs w:val="19"/>
              </w:rPr>
              <w:t xml:space="preserve"> </w:t>
            </w:r>
            <w:r>
              <w:rPr>
                <w:rFonts w:ascii="Semibold" w:hAnsi="Semibold" w:cs="Semibold"/>
                <w:b/>
                <w:bCs/>
                <w:color w:val="000000"/>
                <w:sz w:val="19"/>
                <w:szCs w:val="19"/>
              </w:rPr>
              <w:t>including the selection, funding,</w:t>
            </w:r>
            <w:r w:rsidR="00B87E7D">
              <w:rPr>
                <w:rFonts w:ascii="Semibold" w:hAnsi="Semibold" w:cs="Semibold"/>
                <w:b/>
                <w:bCs/>
                <w:color w:val="000000"/>
                <w:sz w:val="19"/>
                <w:szCs w:val="19"/>
              </w:rPr>
              <w:t xml:space="preserve"> </w:t>
            </w:r>
            <w:r>
              <w:rPr>
                <w:rFonts w:ascii="Semibold" w:hAnsi="Semibold" w:cs="Semibold"/>
                <w:b/>
                <w:bCs/>
                <w:color w:val="000000"/>
                <w:sz w:val="19"/>
                <w:szCs w:val="19"/>
              </w:rPr>
              <w:t>and payment of defense counsel,</w:t>
            </w:r>
            <w:r w:rsidR="00B87E7D">
              <w:rPr>
                <w:rFonts w:ascii="Semibold" w:hAnsi="Semibold" w:cs="Semibold"/>
                <w:b/>
                <w:bCs/>
                <w:color w:val="000000"/>
                <w:sz w:val="19"/>
                <w:szCs w:val="19"/>
              </w:rPr>
              <w:t xml:space="preserve"> </w:t>
            </w:r>
            <w:r>
              <w:rPr>
                <w:rFonts w:ascii="Semibold" w:hAnsi="Semibold" w:cs="Semibold"/>
                <w:b/>
                <w:bCs/>
                <w:color w:val="000000"/>
                <w:sz w:val="19"/>
                <w:szCs w:val="19"/>
              </w:rPr>
              <w:t>is independent.</w:t>
            </w:r>
          </w:p>
          <w:p w14:paraId="3450C19E" w14:textId="64FDAB3B" w:rsidR="00141608" w:rsidRDefault="00141608" w:rsidP="00141608">
            <w:pPr>
              <w:autoSpaceDE w:val="0"/>
              <w:autoSpaceDN w:val="0"/>
              <w:adjustRightInd w:val="0"/>
              <w:rPr>
                <w:rFonts w:ascii="Semibold" w:hAnsi="Semibold" w:cs="Semibold"/>
                <w:b/>
                <w:bCs/>
                <w:color w:val="000000"/>
                <w:sz w:val="19"/>
                <w:szCs w:val="19"/>
              </w:rPr>
            </w:pPr>
            <w:r>
              <w:rPr>
                <w:rFonts w:ascii="Semibold" w:hAnsi="Semibold" w:cs="Semibold"/>
                <w:b/>
                <w:bCs/>
                <w:color w:val="E7E7E7"/>
                <w:sz w:val="90"/>
                <w:szCs w:val="90"/>
              </w:rPr>
              <w:t>2</w:t>
            </w:r>
            <w:r>
              <w:rPr>
                <w:rFonts w:ascii="Semibold" w:hAnsi="Semibold" w:cs="Semibold"/>
                <w:b/>
                <w:bCs/>
                <w:color w:val="000000"/>
                <w:sz w:val="19"/>
                <w:szCs w:val="19"/>
              </w:rPr>
              <w:t>Where the caseload is sufficiently</w:t>
            </w:r>
            <w:r w:rsidR="00B87E7D">
              <w:rPr>
                <w:rFonts w:ascii="Semibold" w:hAnsi="Semibold" w:cs="Semibold"/>
                <w:b/>
                <w:bCs/>
                <w:color w:val="000000"/>
                <w:sz w:val="19"/>
                <w:szCs w:val="19"/>
              </w:rPr>
              <w:t xml:space="preserve"> </w:t>
            </w:r>
            <w:proofErr w:type="gramStart"/>
            <w:r>
              <w:rPr>
                <w:rFonts w:ascii="Semibold" w:hAnsi="Semibold" w:cs="Semibold"/>
                <w:b/>
                <w:bCs/>
                <w:color w:val="000000"/>
                <w:sz w:val="19"/>
                <w:szCs w:val="19"/>
              </w:rPr>
              <w:t>high,</w:t>
            </w:r>
            <w:proofErr w:type="gramEnd"/>
            <w:r>
              <w:rPr>
                <w:rFonts w:ascii="Semibold" w:hAnsi="Semibold" w:cs="Semibold"/>
                <w:b/>
                <w:bCs/>
                <w:color w:val="000000"/>
                <w:sz w:val="19"/>
                <w:szCs w:val="19"/>
              </w:rPr>
              <w:t xml:space="preserve"> the public defense delivery</w:t>
            </w:r>
            <w:r w:rsidR="00B87E7D">
              <w:rPr>
                <w:rFonts w:ascii="Semibold" w:hAnsi="Semibold" w:cs="Semibold"/>
                <w:b/>
                <w:bCs/>
                <w:color w:val="000000"/>
                <w:sz w:val="19"/>
                <w:szCs w:val="19"/>
              </w:rPr>
              <w:t xml:space="preserve"> </w:t>
            </w:r>
            <w:r>
              <w:rPr>
                <w:rFonts w:ascii="Semibold" w:hAnsi="Semibold" w:cs="Semibold"/>
                <w:b/>
                <w:bCs/>
                <w:color w:val="000000"/>
                <w:sz w:val="19"/>
                <w:szCs w:val="19"/>
              </w:rPr>
              <w:t>system consists of both a defender</w:t>
            </w:r>
          </w:p>
          <w:p w14:paraId="128BFDE1" w14:textId="54D37AA1" w:rsidR="00141608" w:rsidRDefault="00141608" w:rsidP="00141608">
            <w:pPr>
              <w:autoSpaceDE w:val="0"/>
              <w:autoSpaceDN w:val="0"/>
              <w:adjustRightInd w:val="0"/>
              <w:rPr>
                <w:rFonts w:ascii="Semibold" w:hAnsi="Semibold" w:cs="Semibold"/>
                <w:b/>
                <w:bCs/>
                <w:color w:val="000000"/>
                <w:sz w:val="19"/>
                <w:szCs w:val="19"/>
              </w:rPr>
            </w:pPr>
            <w:r>
              <w:rPr>
                <w:rFonts w:ascii="Semibold" w:hAnsi="Semibold" w:cs="Semibold"/>
                <w:b/>
                <w:bCs/>
                <w:color w:val="000000"/>
                <w:sz w:val="19"/>
                <w:szCs w:val="19"/>
              </w:rPr>
              <w:t>office and the active participation of</w:t>
            </w:r>
            <w:r w:rsidR="00B87E7D">
              <w:rPr>
                <w:rFonts w:ascii="Semibold" w:hAnsi="Semibold" w:cs="Semibold"/>
                <w:b/>
                <w:bCs/>
                <w:color w:val="000000"/>
                <w:sz w:val="19"/>
                <w:szCs w:val="19"/>
              </w:rPr>
              <w:t xml:space="preserve"> </w:t>
            </w:r>
            <w:r>
              <w:rPr>
                <w:rFonts w:ascii="Semibold" w:hAnsi="Semibold" w:cs="Semibold"/>
                <w:b/>
                <w:bCs/>
                <w:color w:val="000000"/>
                <w:sz w:val="19"/>
                <w:szCs w:val="19"/>
              </w:rPr>
              <w:t>the private bar.</w:t>
            </w:r>
          </w:p>
          <w:p w14:paraId="0F954A44" w14:textId="2EFA94AA" w:rsidR="00141608" w:rsidRDefault="00141608" w:rsidP="00141608">
            <w:pPr>
              <w:autoSpaceDE w:val="0"/>
              <w:autoSpaceDN w:val="0"/>
              <w:adjustRightInd w:val="0"/>
              <w:rPr>
                <w:rFonts w:ascii="Semibold" w:hAnsi="Semibold" w:cs="Semibold"/>
                <w:b/>
                <w:bCs/>
                <w:color w:val="000000"/>
                <w:sz w:val="19"/>
                <w:szCs w:val="19"/>
              </w:rPr>
            </w:pPr>
            <w:r>
              <w:rPr>
                <w:rFonts w:ascii="Semibold" w:hAnsi="Semibold" w:cs="Semibold"/>
                <w:b/>
                <w:bCs/>
                <w:color w:val="E7E7E7"/>
                <w:sz w:val="90"/>
                <w:szCs w:val="90"/>
              </w:rPr>
              <w:t>3</w:t>
            </w:r>
            <w:r>
              <w:rPr>
                <w:rFonts w:ascii="Semibold" w:hAnsi="Semibold" w:cs="Semibold"/>
                <w:b/>
                <w:bCs/>
                <w:color w:val="000000"/>
                <w:sz w:val="19"/>
                <w:szCs w:val="19"/>
              </w:rPr>
              <w:t>Clients are screened for eligibility,</w:t>
            </w:r>
            <w:r w:rsidR="00B87E7D">
              <w:rPr>
                <w:rFonts w:ascii="Semibold" w:hAnsi="Semibold" w:cs="Semibold"/>
                <w:b/>
                <w:bCs/>
                <w:color w:val="000000"/>
                <w:sz w:val="19"/>
                <w:szCs w:val="19"/>
              </w:rPr>
              <w:t xml:space="preserve"> </w:t>
            </w:r>
            <w:r>
              <w:rPr>
                <w:rFonts w:ascii="Semibold" w:hAnsi="Semibold" w:cs="Semibold"/>
                <w:b/>
                <w:bCs/>
                <w:color w:val="000000"/>
                <w:sz w:val="19"/>
                <w:szCs w:val="19"/>
              </w:rPr>
              <w:t>and defense counsel is assigned and</w:t>
            </w:r>
            <w:r w:rsidR="00B87E7D">
              <w:rPr>
                <w:rFonts w:ascii="Semibold" w:hAnsi="Semibold" w:cs="Semibold"/>
                <w:b/>
                <w:bCs/>
                <w:color w:val="000000"/>
                <w:sz w:val="19"/>
                <w:szCs w:val="19"/>
              </w:rPr>
              <w:t xml:space="preserve"> </w:t>
            </w:r>
            <w:r>
              <w:rPr>
                <w:rFonts w:ascii="Semibold" w:hAnsi="Semibold" w:cs="Semibold"/>
                <w:b/>
                <w:bCs/>
                <w:color w:val="000000"/>
                <w:sz w:val="19"/>
                <w:szCs w:val="19"/>
              </w:rPr>
              <w:t>notified of appointment, as soon as</w:t>
            </w:r>
            <w:r w:rsidR="00B87E7D">
              <w:rPr>
                <w:rFonts w:ascii="Semibold" w:hAnsi="Semibold" w:cs="Semibold"/>
                <w:b/>
                <w:bCs/>
                <w:color w:val="000000"/>
                <w:sz w:val="19"/>
                <w:szCs w:val="19"/>
              </w:rPr>
              <w:t xml:space="preserve"> </w:t>
            </w:r>
            <w:r>
              <w:rPr>
                <w:rFonts w:ascii="Semibold" w:hAnsi="Semibold" w:cs="Semibold"/>
                <w:b/>
                <w:bCs/>
                <w:color w:val="000000"/>
                <w:sz w:val="19"/>
                <w:szCs w:val="19"/>
              </w:rPr>
              <w:t>feasible after clients’ arrest, detention,</w:t>
            </w:r>
            <w:r w:rsidR="00B87E7D">
              <w:rPr>
                <w:rFonts w:ascii="Semibold" w:hAnsi="Semibold" w:cs="Semibold"/>
                <w:b/>
                <w:bCs/>
                <w:color w:val="000000"/>
                <w:sz w:val="19"/>
                <w:szCs w:val="19"/>
              </w:rPr>
              <w:t xml:space="preserve"> </w:t>
            </w:r>
            <w:r>
              <w:rPr>
                <w:rFonts w:ascii="Semibold" w:hAnsi="Semibold" w:cs="Semibold"/>
                <w:b/>
                <w:bCs/>
                <w:color w:val="000000"/>
                <w:sz w:val="19"/>
                <w:szCs w:val="19"/>
              </w:rPr>
              <w:t>or request for counsel.</w:t>
            </w:r>
          </w:p>
          <w:p w14:paraId="6FDCF0C5" w14:textId="0EA17254" w:rsidR="00141608" w:rsidRDefault="00141608" w:rsidP="00141608">
            <w:pPr>
              <w:autoSpaceDE w:val="0"/>
              <w:autoSpaceDN w:val="0"/>
              <w:adjustRightInd w:val="0"/>
              <w:rPr>
                <w:rFonts w:ascii="Semibold" w:hAnsi="Semibold" w:cs="Semibold"/>
                <w:b/>
                <w:bCs/>
                <w:color w:val="000000"/>
                <w:sz w:val="19"/>
                <w:szCs w:val="19"/>
              </w:rPr>
            </w:pPr>
            <w:r>
              <w:rPr>
                <w:rFonts w:ascii="Semibold" w:hAnsi="Semibold" w:cs="Semibold"/>
                <w:b/>
                <w:bCs/>
                <w:color w:val="E7E7E7"/>
                <w:sz w:val="90"/>
                <w:szCs w:val="90"/>
              </w:rPr>
              <w:t>4</w:t>
            </w:r>
            <w:r>
              <w:rPr>
                <w:rFonts w:ascii="Semibold" w:hAnsi="Semibold" w:cs="Semibold"/>
                <w:b/>
                <w:bCs/>
                <w:color w:val="000000"/>
                <w:sz w:val="19"/>
                <w:szCs w:val="19"/>
              </w:rPr>
              <w:t>Defense counsel is provided sufficient</w:t>
            </w:r>
            <w:r w:rsidR="00B87E7D">
              <w:rPr>
                <w:rFonts w:ascii="Semibold" w:hAnsi="Semibold" w:cs="Semibold"/>
                <w:b/>
                <w:bCs/>
                <w:color w:val="000000"/>
                <w:sz w:val="19"/>
                <w:szCs w:val="19"/>
              </w:rPr>
              <w:t xml:space="preserve"> </w:t>
            </w:r>
            <w:r>
              <w:rPr>
                <w:rFonts w:ascii="Semibold" w:hAnsi="Semibold" w:cs="Semibold"/>
                <w:b/>
                <w:bCs/>
                <w:color w:val="000000"/>
                <w:sz w:val="19"/>
                <w:szCs w:val="19"/>
              </w:rPr>
              <w:t>time and a confidential space within</w:t>
            </w:r>
            <w:r w:rsidR="00B87E7D">
              <w:rPr>
                <w:rFonts w:ascii="Semibold" w:hAnsi="Semibold" w:cs="Semibold"/>
                <w:b/>
                <w:bCs/>
                <w:color w:val="000000"/>
                <w:sz w:val="19"/>
                <w:szCs w:val="19"/>
              </w:rPr>
              <w:t xml:space="preserve"> </w:t>
            </w:r>
            <w:r>
              <w:rPr>
                <w:rFonts w:ascii="Semibold" w:hAnsi="Semibold" w:cs="Semibold"/>
                <w:b/>
                <w:bCs/>
                <w:color w:val="000000"/>
                <w:sz w:val="19"/>
                <w:szCs w:val="19"/>
              </w:rPr>
              <w:t>which to meet with the client.</w:t>
            </w:r>
          </w:p>
          <w:p w14:paraId="5E591392" w14:textId="4698203E" w:rsidR="00141608" w:rsidRDefault="00141608" w:rsidP="00141608">
            <w:pPr>
              <w:autoSpaceDE w:val="0"/>
              <w:autoSpaceDN w:val="0"/>
              <w:adjustRightInd w:val="0"/>
              <w:rPr>
                <w:rFonts w:ascii="Semibold" w:hAnsi="Semibold" w:cs="Semibold"/>
                <w:b/>
                <w:bCs/>
                <w:color w:val="000000"/>
                <w:sz w:val="19"/>
                <w:szCs w:val="19"/>
              </w:rPr>
            </w:pPr>
            <w:r>
              <w:rPr>
                <w:rFonts w:ascii="Semibold" w:hAnsi="Semibold" w:cs="Semibold"/>
                <w:b/>
                <w:bCs/>
                <w:color w:val="E7E7E7"/>
                <w:sz w:val="90"/>
                <w:szCs w:val="90"/>
              </w:rPr>
              <w:t>5</w:t>
            </w:r>
            <w:r>
              <w:rPr>
                <w:rFonts w:ascii="Semibold" w:hAnsi="Semibold" w:cs="Semibold"/>
                <w:b/>
                <w:bCs/>
                <w:color w:val="000000"/>
                <w:sz w:val="19"/>
                <w:szCs w:val="19"/>
              </w:rPr>
              <w:t>Defense counsel’s workload is</w:t>
            </w:r>
            <w:r w:rsidR="00B87E7D">
              <w:rPr>
                <w:rFonts w:ascii="Semibold" w:hAnsi="Semibold" w:cs="Semibold"/>
                <w:b/>
                <w:bCs/>
                <w:color w:val="000000"/>
                <w:sz w:val="19"/>
                <w:szCs w:val="19"/>
              </w:rPr>
              <w:t xml:space="preserve"> </w:t>
            </w:r>
            <w:r>
              <w:rPr>
                <w:rFonts w:ascii="Semibold" w:hAnsi="Semibold" w:cs="Semibold"/>
                <w:b/>
                <w:bCs/>
                <w:color w:val="000000"/>
                <w:sz w:val="19"/>
                <w:szCs w:val="19"/>
              </w:rPr>
              <w:t>controlled to permit the rendering</w:t>
            </w:r>
            <w:r w:rsidR="00B87E7D">
              <w:rPr>
                <w:rFonts w:ascii="Semibold" w:hAnsi="Semibold" w:cs="Semibold"/>
                <w:b/>
                <w:bCs/>
                <w:color w:val="000000"/>
                <w:sz w:val="19"/>
                <w:szCs w:val="19"/>
              </w:rPr>
              <w:t xml:space="preserve"> </w:t>
            </w:r>
            <w:r>
              <w:rPr>
                <w:rFonts w:ascii="Semibold" w:hAnsi="Semibold" w:cs="Semibold"/>
                <w:b/>
                <w:bCs/>
                <w:color w:val="000000"/>
                <w:sz w:val="19"/>
                <w:szCs w:val="19"/>
              </w:rPr>
              <w:t>of quality representation.</w:t>
            </w:r>
          </w:p>
          <w:p w14:paraId="35A5D7D8" w14:textId="77777777" w:rsidR="00141608" w:rsidRDefault="00141608">
            <w:pPr>
              <w:spacing w:line="480" w:lineRule="auto"/>
            </w:pPr>
          </w:p>
        </w:tc>
        <w:tc>
          <w:tcPr>
            <w:tcW w:w="4675" w:type="dxa"/>
          </w:tcPr>
          <w:p w14:paraId="24972561" w14:textId="6A1F88BA" w:rsidR="00141608" w:rsidRDefault="00141608" w:rsidP="00141608">
            <w:pPr>
              <w:autoSpaceDE w:val="0"/>
              <w:autoSpaceDN w:val="0"/>
              <w:adjustRightInd w:val="0"/>
              <w:rPr>
                <w:rFonts w:ascii="Semibold" w:hAnsi="Semibold" w:cs="Semibold"/>
                <w:b/>
                <w:bCs/>
                <w:color w:val="000000"/>
                <w:sz w:val="19"/>
                <w:szCs w:val="19"/>
              </w:rPr>
            </w:pPr>
            <w:r>
              <w:rPr>
                <w:rFonts w:ascii="Semibold" w:hAnsi="Semibold" w:cs="Semibold"/>
                <w:b/>
                <w:bCs/>
                <w:color w:val="E7E7E7"/>
                <w:sz w:val="90"/>
                <w:szCs w:val="90"/>
              </w:rPr>
              <w:t>6</w:t>
            </w:r>
            <w:r>
              <w:rPr>
                <w:rFonts w:ascii="Semibold" w:hAnsi="Semibold" w:cs="Semibold"/>
                <w:b/>
                <w:bCs/>
                <w:color w:val="000000"/>
                <w:sz w:val="19"/>
                <w:szCs w:val="19"/>
              </w:rPr>
              <w:t>Defense counsel’s ability, training,</w:t>
            </w:r>
            <w:r w:rsidR="00B87E7D">
              <w:rPr>
                <w:rFonts w:ascii="Semibold" w:hAnsi="Semibold" w:cs="Semibold"/>
                <w:b/>
                <w:bCs/>
                <w:color w:val="000000"/>
                <w:sz w:val="19"/>
                <w:szCs w:val="19"/>
              </w:rPr>
              <w:t xml:space="preserve"> </w:t>
            </w:r>
            <w:r>
              <w:rPr>
                <w:rFonts w:ascii="Semibold" w:hAnsi="Semibold" w:cs="Semibold"/>
                <w:b/>
                <w:bCs/>
                <w:color w:val="000000"/>
                <w:sz w:val="19"/>
                <w:szCs w:val="19"/>
              </w:rPr>
              <w:t>and experience match the complexity</w:t>
            </w:r>
            <w:r w:rsidR="00B87E7D">
              <w:rPr>
                <w:rFonts w:ascii="Semibold" w:hAnsi="Semibold" w:cs="Semibold"/>
                <w:b/>
                <w:bCs/>
                <w:color w:val="000000"/>
                <w:sz w:val="19"/>
                <w:szCs w:val="19"/>
              </w:rPr>
              <w:t xml:space="preserve"> </w:t>
            </w:r>
            <w:r>
              <w:rPr>
                <w:rFonts w:ascii="Semibold" w:hAnsi="Semibold" w:cs="Semibold"/>
                <w:b/>
                <w:bCs/>
                <w:color w:val="000000"/>
                <w:sz w:val="19"/>
                <w:szCs w:val="19"/>
              </w:rPr>
              <w:t>of the case.</w:t>
            </w:r>
          </w:p>
          <w:p w14:paraId="34999F1A" w14:textId="50C67AE9" w:rsidR="00141608" w:rsidRDefault="00141608" w:rsidP="00141608">
            <w:pPr>
              <w:autoSpaceDE w:val="0"/>
              <w:autoSpaceDN w:val="0"/>
              <w:adjustRightInd w:val="0"/>
              <w:rPr>
                <w:rFonts w:ascii="Semibold" w:hAnsi="Semibold" w:cs="Semibold"/>
                <w:b/>
                <w:bCs/>
                <w:color w:val="000000"/>
                <w:sz w:val="19"/>
                <w:szCs w:val="19"/>
              </w:rPr>
            </w:pPr>
            <w:r>
              <w:rPr>
                <w:rFonts w:ascii="Semibold" w:hAnsi="Semibold" w:cs="Semibold"/>
                <w:b/>
                <w:bCs/>
                <w:color w:val="E7E7E7"/>
                <w:sz w:val="90"/>
                <w:szCs w:val="90"/>
              </w:rPr>
              <w:t>7</w:t>
            </w:r>
            <w:r>
              <w:rPr>
                <w:rFonts w:ascii="Semibold" w:hAnsi="Semibold" w:cs="Semibold"/>
                <w:b/>
                <w:bCs/>
                <w:color w:val="000000"/>
                <w:sz w:val="19"/>
                <w:szCs w:val="19"/>
              </w:rPr>
              <w:t>The same attorney continuously</w:t>
            </w:r>
            <w:r w:rsidR="00B87E7D">
              <w:rPr>
                <w:rFonts w:ascii="Semibold" w:hAnsi="Semibold" w:cs="Semibold"/>
                <w:b/>
                <w:bCs/>
                <w:color w:val="000000"/>
                <w:sz w:val="19"/>
                <w:szCs w:val="19"/>
              </w:rPr>
              <w:t xml:space="preserve"> </w:t>
            </w:r>
            <w:r>
              <w:rPr>
                <w:rFonts w:ascii="Semibold" w:hAnsi="Semibold" w:cs="Semibold"/>
                <w:b/>
                <w:bCs/>
                <w:color w:val="000000"/>
                <w:sz w:val="19"/>
                <w:szCs w:val="19"/>
              </w:rPr>
              <w:t>represents the client until completion</w:t>
            </w:r>
            <w:r w:rsidR="00B87E7D">
              <w:rPr>
                <w:rFonts w:ascii="Semibold" w:hAnsi="Semibold" w:cs="Semibold"/>
                <w:b/>
                <w:bCs/>
                <w:color w:val="000000"/>
                <w:sz w:val="19"/>
                <w:szCs w:val="19"/>
              </w:rPr>
              <w:t xml:space="preserve"> </w:t>
            </w:r>
            <w:r>
              <w:rPr>
                <w:rFonts w:ascii="Semibold" w:hAnsi="Semibold" w:cs="Semibold"/>
                <w:b/>
                <w:bCs/>
                <w:color w:val="000000"/>
                <w:sz w:val="19"/>
                <w:szCs w:val="19"/>
              </w:rPr>
              <w:t>of the case.</w:t>
            </w:r>
          </w:p>
          <w:p w14:paraId="4C0C7041" w14:textId="6FA355E1" w:rsidR="00141608" w:rsidRDefault="00141608" w:rsidP="00141608">
            <w:pPr>
              <w:autoSpaceDE w:val="0"/>
              <w:autoSpaceDN w:val="0"/>
              <w:adjustRightInd w:val="0"/>
              <w:rPr>
                <w:rFonts w:ascii="Semibold" w:hAnsi="Semibold" w:cs="Semibold"/>
                <w:b/>
                <w:bCs/>
                <w:color w:val="000000"/>
                <w:sz w:val="19"/>
                <w:szCs w:val="19"/>
              </w:rPr>
            </w:pPr>
            <w:r>
              <w:rPr>
                <w:rFonts w:ascii="Semibold" w:hAnsi="Semibold" w:cs="Semibold"/>
                <w:b/>
                <w:bCs/>
                <w:color w:val="E7E7E7"/>
                <w:sz w:val="90"/>
                <w:szCs w:val="90"/>
              </w:rPr>
              <w:t>8</w:t>
            </w:r>
            <w:r>
              <w:rPr>
                <w:rFonts w:ascii="Semibold" w:hAnsi="Semibold" w:cs="Semibold"/>
                <w:b/>
                <w:bCs/>
                <w:color w:val="000000"/>
                <w:sz w:val="19"/>
                <w:szCs w:val="19"/>
              </w:rPr>
              <w:t>There is parity between defense</w:t>
            </w:r>
            <w:r w:rsidR="00B87E7D">
              <w:rPr>
                <w:rFonts w:ascii="Semibold" w:hAnsi="Semibold" w:cs="Semibold"/>
                <w:b/>
                <w:bCs/>
                <w:color w:val="000000"/>
                <w:sz w:val="19"/>
                <w:szCs w:val="19"/>
              </w:rPr>
              <w:t xml:space="preserve"> </w:t>
            </w:r>
            <w:r>
              <w:rPr>
                <w:rFonts w:ascii="Semibold" w:hAnsi="Semibold" w:cs="Semibold"/>
                <w:b/>
                <w:bCs/>
                <w:color w:val="000000"/>
                <w:sz w:val="19"/>
                <w:szCs w:val="19"/>
              </w:rPr>
              <w:t>counsel and the prosecution with</w:t>
            </w:r>
            <w:r w:rsidR="00B87E7D">
              <w:rPr>
                <w:rFonts w:ascii="Semibold" w:hAnsi="Semibold" w:cs="Semibold"/>
                <w:b/>
                <w:bCs/>
                <w:color w:val="000000"/>
                <w:sz w:val="19"/>
                <w:szCs w:val="19"/>
              </w:rPr>
              <w:t xml:space="preserve"> </w:t>
            </w:r>
            <w:r>
              <w:rPr>
                <w:rFonts w:ascii="Semibold" w:hAnsi="Semibold" w:cs="Semibold"/>
                <w:b/>
                <w:bCs/>
                <w:color w:val="000000"/>
                <w:sz w:val="19"/>
                <w:szCs w:val="19"/>
              </w:rPr>
              <w:t>respect to resources and defense</w:t>
            </w:r>
            <w:r w:rsidR="00B87E7D">
              <w:rPr>
                <w:rFonts w:ascii="Semibold" w:hAnsi="Semibold" w:cs="Semibold"/>
                <w:b/>
                <w:bCs/>
                <w:color w:val="000000"/>
                <w:sz w:val="19"/>
                <w:szCs w:val="19"/>
              </w:rPr>
              <w:t xml:space="preserve"> </w:t>
            </w:r>
            <w:r>
              <w:rPr>
                <w:rFonts w:ascii="Semibold" w:hAnsi="Semibold" w:cs="Semibold"/>
                <w:b/>
                <w:bCs/>
                <w:color w:val="000000"/>
                <w:sz w:val="19"/>
                <w:szCs w:val="19"/>
              </w:rPr>
              <w:t>counsel is included as an equal</w:t>
            </w:r>
            <w:r w:rsidR="00B87E7D">
              <w:rPr>
                <w:rFonts w:ascii="Semibold" w:hAnsi="Semibold" w:cs="Semibold"/>
                <w:b/>
                <w:bCs/>
                <w:color w:val="000000"/>
                <w:sz w:val="19"/>
                <w:szCs w:val="19"/>
              </w:rPr>
              <w:t xml:space="preserve"> </w:t>
            </w:r>
            <w:r>
              <w:rPr>
                <w:rFonts w:ascii="Semibold" w:hAnsi="Semibold" w:cs="Semibold"/>
                <w:b/>
                <w:bCs/>
                <w:color w:val="000000"/>
                <w:sz w:val="19"/>
                <w:szCs w:val="19"/>
              </w:rPr>
              <w:t>partner in the justice system.</w:t>
            </w:r>
          </w:p>
          <w:p w14:paraId="22D050B3" w14:textId="3884A2E6" w:rsidR="00141608" w:rsidRDefault="00141608" w:rsidP="00141608">
            <w:pPr>
              <w:autoSpaceDE w:val="0"/>
              <w:autoSpaceDN w:val="0"/>
              <w:adjustRightInd w:val="0"/>
              <w:rPr>
                <w:rFonts w:ascii="Semibold" w:hAnsi="Semibold" w:cs="Semibold"/>
                <w:b/>
                <w:bCs/>
                <w:color w:val="000000"/>
                <w:sz w:val="19"/>
                <w:szCs w:val="19"/>
              </w:rPr>
            </w:pPr>
            <w:r>
              <w:rPr>
                <w:rFonts w:ascii="Semibold" w:hAnsi="Semibold" w:cs="Semibold"/>
                <w:b/>
                <w:bCs/>
                <w:color w:val="E7E7E7"/>
                <w:sz w:val="90"/>
                <w:szCs w:val="90"/>
              </w:rPr>
              <w:t>9</w:t>
            </w:r>
            <w:r>
              <w:rPr>
                <w:rFonts w:ascii="Semibold" w:hAnsi="Semibold" w:cs="Semibold"/>
                <w:b/>
                <w:bCs/>
                <w:color w:val="000000"/>
                <w:sz w:val="19"/>
                <w:szCs w:val="19"/>
              </w:rPr>
              <w:t>Defense counsel is provided with and</w:t>
            </w:r>
            <w:r w:rsidR="00B87E7D">
              <w:rPr>
                <w:rFonts w:ascii="Semibold" w:hAnsi="Semibold" w:cs="Semibold"/>
                <w:b/>
                <w:bCs/>
                <w:color w:val="000000"/>
                <w:sz w:val="19"/>
                <w:szCs w:val="19"/>
              </w:rPr>
              <w:t xml:space="preserve"> </w:t>
            </w:r>
            <w:r>
              <w:rPr>
                <w:rFonts w:ascii="Semibold" w:hAnsi="Semibold" w:cs="Semibold"/>
                <w:b/>
                <w:bCs/>
                <w:color w:val="000000"/>
                <w:sz w:val="19"/>
                <w:szCs w:val="19"/>
              </w:rPr>
              <w:t>required to attend continuing legal</w:t>
            </w:r>
            <w:r w:rsidR="00B87E7D">
              <w:rPr>
                <w:rFonts w:ascii="Semibold" w:hAnsi="Semibold" w:cs="Semibold"/>
                <w:b/>
                <w:bCs/>
                <w:color w:val="000000"/>
                <w:sz w:val="19"/>
                <w:szCs w:val="19"/>
              </w:rPr>
              <w:t xml:space="preserve"> </w:t>
            </w:r>
            <w:r>
              <w:rPr>
                <w:rFonts w:ascii="Semibold" w:hAnsi="Semibold" w:cs="Semibold"/>
                <w:b/>
                <w:bCs/>
                <w:color w:val="000000"/>
                <w:sz w:val="19"/>
                <w:szCs w:val="19"/>
              </w:rPr>
              <w:t>education.</w:t>
            </w:r>
          </w:p>
          <w:p w14:paraId="1AEA1A3D" w14:textId="34F257B1" w:rsidR="00141608" w:rsidRPr="00B87E7D" w:rsidRDefault="00141608" w:rsidP="00B87E7D">
            <w:pPr>
              <w:autoSpaceDE w:val="0"/>
              <w:autoSpaceDN w:val="0"/>
              <w:adjustRightInd w:val="0"/>
              <w:rPr>
                <w:rFonts w:ascii="Semibold" w:hAnsi="Semibold" w:cs="Semibold"/>
                <w:b/>
                <w:bCs/>
                <w:color w:val="000000"/>
                <w:sz w:val="19"/>
                <w:szCs w:val="19"/>
              </w:rPr>
            </w:pPr>
            <w:r>
              <w:rPr>
                <w:rFonts w:ascii="Semibold" w:hAnsi="Semibold" w:cs="Semibold"/>
                <w:b/>
                <w:bCs/>
                <w:color w:val="E7E7E7"/>
                <w:sz w:val="90"/>
                <w:szCs w:val="90"/>
              </w:rPr>
              <w:t>10</w:t>
            </w:r>
            <w:r>
              <w:rPr>
                <w:rFonts w:ascii="Semibold" w:hAnsi="Semibold" w:cs="Semibold"/>
                <w:b/>
                <w:bCs/>
                <w:color w:val="000000"/>
                <w:sz w:val="19"/>
                <w:szCs w:val="19"/>
              </w:rPr>
              <w:t>Defense counsel is supervised</w:t>
            </w:r>
            <w:r w:rsidR="00B87E7D">
              <w:rPr>
                <w:rFonts w:ascii="Semibold" w:hAnsi="Semibold" w:cs="Semibold"/>
                <w:b/>
                <w:bCs/>
                <w:color w:val="000000"/>
                <w:sz w:val="19"/>
                <w:szCs w:val="19"/>
              </w:rPr>
              <w:t xml:space="preserve"> </w:t>
            </w:r>
            <w:r>
              <w:rPr>
                <w:rFonts w:ascii="Semibold" w:hAnsi="Semibold" w:cs="Semibold"/>
                <w:b/>
                <w:bCs/>
                <w:color w:val="000000"/>
                <w:sz w:val="19"/>
                <w:szCs w:val="19"/>
              </w:rPr>
              <w:t>and systematically reviewed for</w:t>
            </w:r>
            <w:r w:rsidR="00B87E7D">
              <w:rPr>
                <w:rFonts w:ascii="Semibold" w:hAnsi="Semibold" w:cs="Semibold"/>
                <w:b/>
                <w:bCs/>
                <w:color w:val="000000"/>
                <w:sz w:val="19"/>
                <w:szCs w:val="19"/>
              </w:rPr>
              <w:t xml:space="preserve"> </w:t>
            </w:r>
            <w:r>
              <w:rPr>
                <w:rFonts w:ascii="Semibold" w:hAnsi="Semibold" w:cs="Semibold"/>
                <w:b/>
                <w:bCs/>
                <w:color w:val="000000"/>
                <w:sz w:val="19"/>
                <w:szCs w:val="19"/>
              </w:rPr>
              <w:t>quality and efficiency according</w:t>
            </w:r>
            <w:r w:rsidR="00B87E7D">
              <w:rPr>
                <w:rFonts w:ascii="Semibold" w:hAnsi="Semibold" w:cs="Semibold"/>
                <w:b/>
                <w:bCs/>
                <w:color w:val="000000"/>
                <w:sz w:val="19"/>
                <w:szCs w:val="19"/>
              </w:rPr>
              <w:t xml:space="preserve"> </w:t>
            </w:r>
            <w:r>
              <w:rPr>
                <w:rFonts w:ascii="Semibold" w:hAnsi="Semibold" w:cs="Semibold"/>
                <w:b/>
                <w:bCs/>
                <w:color w:val="000000"/>
                <w:sz w:val="19"/>
                <w:szCs w:val="19"/>
              </w:rPr>
              <w:t>to nationally and locally adopted</w:t>
            </w:r>
            <w:r w:rsidR="00B87E7D">
              <w:rPr>
                <w:rFonts w:ascii="Semibold" w:hAnsi="Semibold" w:cs="Semibold"/>
                <w:b/>
                <w:bCs/>
                <w:color w:val="000000"/>
                <w:sz w:val="19"/>
                <w:szCs w:val="19"/>
              </w:rPr>
              <w:t xml:space="preserve"> </w:t>
            </w:r>
            <w:r>
              <w:rPr>
                <w:rFonts w:ascii="Semibold" w:hAnsi="Semibold" w:cs="Semibold"/>
                <w:b/>
                <w:bCs/>
                <w:color w:val="000000"/>
                <w:sz w:val="19"/>
                <w:szCs w:val="19"/>
              </w:rPr>
              <w:t>standards.</w:t>
            </w:r>
          </w:p>
          <w:p w14:paraId="36565C4D" w14:textId="77777777" w:rsidR="00141608" w:rsidRDefault="00141608">
            <w:pPr>
              <w:spacing w:line="480" w:lineRule="auto"/>
            </w:pPr>
          </w:p>
        </w:tc>
      </w:tr>
    </w:tbl>
    <w:p w14:paraId="2419CDB7" w14:textId="5E793907" w:rsidR="007A177D" w:rsidRDefault="007A177D">
      <w:pPr>
        <w:spacing w:after="160" w:line="259" w:lineRule="auto"/>
        <w:rPr>
          <w:rFonts w:ascii="Avenir Black Oblique" w:hAnsi="Avenir Black Oblique"/>
          <w:b/>
          <w:bCs/>
          <w:i/>
          <w:iCs/>
          <w:color w:val="000000" w:themeColor="text1"/>
          <w:sz w:val="20"/>
          <w:szCs w:val="20"/>
        </w:rPr>
      </w:pPr>
    </w:p>
    <w:p w14:paraId="6B8DAB6A" w14:textId="77777777" w:rsidR="007A177D" w:rsidRDefault="007A177D">
      <w:pPr>
        <w:spacing w:after="160" w:line="259" w:lineRule="auto"/>
        <w:rPr>
          <w:rFonts w:ascii="Avenir Black Oblique" w:hAnsi="Avenir Black Oblique"/>
          <w:b/>
          <w:bCs/>
          <w:i/>
          <w:iCs/>
          <w:color w:val="000000" w:themeColor="text1"/>
          <w:sz w:val="20"/>
          <w:szCs w:val="20"/>
        </w:rPr>
      </w:pPr>
      <w:r>
        <w:rPr>
          <w:rFonts w:ascii="Avenir Black Oblique" w:hAnsi="Avenir Black Oblique"/>
          <w:b/>
          <w:bCs/>
          <w:i/>
          <w:iCs/>
          <w:color w:val="000000" w:themeColor="text1"/>
          <w:sz w:val="20"/>
          <w:szCs w:val="20"/>
        </w:rPr>
        <w:br w:type="page"/>
      </w:r>
    </w:p>
    <w:p w14:paraId="2BFE8676" w14:textId="77777777" w:rsidR="00B87E7D" w:rsidRPr="00EA3D8B" w:rsidRDefault="00B87E7D" w:rsidP="0069608C">
      <w:pPr>
        <w:spacing w:after="160" w:line="259" w:lineRule="auto"/>
        <w:rPr>
          <w:rFonts w:ascii="Avenir Black Oblique" w:hAnsi="Avenir Black Oblique"/>
          <w:b/>
          <w:bCs/>
          <w:i/>
          <w:iCs/>
          <w:color w:val="000000" w:themeColor="text1"/>
          <w:sz w:val="20"/>
          <w:szCs w:val="20"/>
        </w:rPr>
      </w:pPr>
    </w:p>
    <w:p w14:paraId="212C30E1" w14:textId="1AA76D53" w:rsidR="00141608" w:rsidRPr="00B87E7D" w:rsidRDefault="00B87E7D" w:rsidP="0069608C">
      <w:pPr>
        <w:pStyle w:val="head4"/>
        <w:jc w:val="center"/>
      </w:pPr>
      <w:r w:rsidRPr="00B87E7D">
        <w:t>-</w:t>
      </w:r>
      <w:r>
        <w:t xml:space="preserve"> </w:t>
      </w:r>
      <w:r w:rsidR="00141608" w:rsidRPr="00B87E7D">
        <w:t>APPENDIX 2</w:t>
      </w:r>
      <w:r>
        <w:t xml:space="preserve"> -</w:t>
      </w:r>
    </w:p>
    <w:p w14:paraId="5BFA0347" w14:textId="0CF5A0AD" w:rsidR="00141608" w:rsidRDefault="000E2E79" w:rsidP="0069608C">
      <w:pPr>
        <w:spacing w:line="480" w:lineRule="auto"/>
      </w:pPr>
      <w:r>
        <w:rPr>
          <w:noProof/>
          <w:sz w:val="10"/>
          <w:szCs w:val="10"/>
        </w:rPr>
        <w:pict w14:anchorId="1B6FD16A">
          <v:rect id="_x0000_i1027" alt="" style="width:468pt;height:.05pt;mso-width-percent:0;mso-height-percent:0;mso-width-percent:0;mso-height-percent:0" o:hralign="center" o:hrstd="t" o:hr="t" fillcolor="#a0a0a0" stroked="f"/>
        </w:pict>
      </w:r>
    </w:p>
    <w:p w14:paraId="765ADD74" w14:textId="625DF988" w:rsidR="004F1885" w:rsidRPr="0069608C" w:rsidRDefault="00141608" w:rsidP="0069608C">
      <w:pPr>
        <w:jc w:val="both"/>
        <w:rPr>
          <w:rStyle w:val="Strong"/>
          <w:rFonts w:ascii="Avenir Book" w:hAnsi="Avenir Book" w:cs="Arial"/>
          <w:color w:val="4C4C4C"/>
          <w:sz w:val="20"/>
          <w:szCs w:val="20"/>
          <w:u w:val="single"/>
          <w:shd w:val="clear" w:color="auto" w:fill="F8F9F9"/>
        </w:rPr>
      </w:pPr>
      <w:r w:rsidRPr="0069608C">
        <w:rPr>
          <w:rStyle w:val="Strong"/>
          <w:rFonts w:ascii="Avenir Book" w:hAnsi="Avenir Book" w:cs="Arial"/>
          <w:color w:val="91211B"/>
          <w:sz w:val="20"/>
          <w:szCs w:val="20"/>
          <w:shd w:val="clear" w:color="auto" w:fill="F8F9F9"/>
        </w:rPr>
        <w:t>NAPD Principles Related to the structure and Organization for Providing Public Defense Services</w:t>
      </w:r>
      <w:r w:rsidRPr="0069608C">
        <w:rPr>
          <w:rFonts w:ascii="Avenir Book" w:hAnsi="Avenir Book" w:cs="Arial"/>
          <w:color w:val="4C4C4C"/>
          <w:sz w:val="20"/>
          <w:szCs w:val="20"/>
        </w:rPr>
        <w:br/>
      </w:r>
      <w:r w:rsidRPr="0069608C">
        <w:rPr>
          <w:rFonts w:ascii="Avenir Book" w:hAnsi="Avenir Book" w:cs="Arial"/>
          <w:color w:val="4C4C4C"/>
          <w:sz w:val="20"/>
          <w:szCs w:val="20"/>
        </w:rPr>
        <w:br/>
      </w:r>
      <w:r w:rsidRPr="0069608C">
        <w:rPr>
          <w:rFonts w:ascii="Avenir Book" w:hAnsi="Avenir Book" w:cs="Arial"/>
          <w:color w:val="4C4C4C"/>
          <w:sz w:val="20"/>
          <w:szCs w:val="20"/>
        </w:rPr>
        <w:br/>
      </w:r>
      <w:r w:rsidRPr="0069608C">
        <w:rPr>
          <w:rStyle w:val="Strong"/>
          <w:rFonts w:ascii="Avenir Book" w:hAnsi="Avenir Book" w:cs="Arial"/>
          <w:color w:val="4C4C4C"/>
          <w:sz w:val="20"/>
          <w:szCs w:val="20"/>
          <w:u w:val="single"/>
          <w:shd w:val="clear" w:color="auto" w:fill="F8F9F9"/>
        </w:rPr>
        <w:t>Principle 1:  Competent and Effective Public Defense Lawyers Must Be Provided for the Fair Administration of Justice</w:t>
      </w:r>
    </w:p>
    <w:p w14:paraId="0BF6B1A2" w14:textId="7EE7F61A" w:rsidR="004F1885" w:rsidRPr="0069608C" w:rsidRDefault="00141608" w:rsidP="0069608C">
      <w:pPr>
        <w:jc w:val="both"/>
        <w:rPr>
          <w:rFonts w:ascii="Avenir Book" w:hAnsi="Avenir Book" w:cs="Arial"/>
          <w:color w:val="4C4C4C"/>
          <w:sz w:val="20"/>
          <w:szCs w:val="20"/>
          <w:shd w:val="clear" w:color="auto" w:fill="F8F9F9"/>
        </w:rPr>
      </w:pPr>
      <w:r w:rsidRPr="0069608C">
        <w:rPr>
          <w:rFonts w:ascii="Avenir Book" w:hAnsi="Avenir Book" w:cs="Arial"/>
          <w:color w:val="4C4C4C"/>
          <w:sz w:val="20"/>
          <w:szCs w:val="20"/>
        </w:rPr>
        <w:br/>
      </w:r>
      <w:r w:rsidRPr="0069608C">
        <w:rPr>
          <w:rFonts w:ascii="Avenir Book" w:hAnsi="Avenir Book" w:cs="Arial"/>
          <w:color w:val="4C4C4C"/>
          <w:sz w:val="20"/>
          <w:szCs w:val="20"/>
          <w:shd w:val="clear" w:color="auto" w:fill="F8F9F9"/>
        </w:rPr>
        <w:t>The fair administration of juvenile and criminal justice requires competent and effective “public defense lawyers” (hereafter sometimes referred to as “lawyers”) for all juveniles charged with delinquency and adults in criminal cases unable to afford a reasonable attorney’s fee.  Similarly, competent and effective lawyers should be provided in all other proceedings in which lawyers are commonly provided, such as dependency, children in need of supervision, sexually violent predator, and civil commitment cases.  For juveniles charged with delinquency, the right to counsel should be non-waivable, and in criminal cases no waiver of counsel should be permitted unless the accused is first provided the opportunity to speak to a lawyer.  Waivers of lawyers by adult criminal defendants should occur rarely and only if a judge has addressed the defendant personally on the record, and the waiver of counsel is made knowingly, intelligently, voluntarily, and is in writing.  All adults in criminal cases and juveniles charged with delinquency taken into custody should be brought before a judicial officer no later than 48 hours after custody begins and, prior to such appearance, all persons charged should be interviewed promptly by a lawyer or person working on behalf of the lawyer, who is prepared to address the person’s release from custody at first appearance. </w:t>
      </w:r>
    </w:p>
    <w:p w14:paraId="22B4A780" w14:textId="6D3755EA" w:rsidR="004F1885" w:rsidRPr="0069608C" w:rsidRDefault="00141608" w:rsidP="0069608C">
      <w:pPr>
        <w:jc w:val="both"/>
        <w:rPr>
          <w:rStyle w:val="Strong"/>
          <w:rFonts w:ascii="Avenir Book" w:hAnsi="Avenir Book" w:cs="Arial"/>
          <w:color w:val="4C4C4C"/>
          <w:sz w:val="20"/>
          <w:szCs w:val="20"/>
          <w:u w:val="single"/>
          <w:shd w:val="clear" w:color="auto" w:fill="F8F9F9"/>
        </w:rPr>
      </w:pPr>
      <w:r w:rsidRPr="0069608C">
        <w:rPr>
          <w:rFonts w:ascii="Avenir Book" w:hAnsi="Avenir Book" w:cs="Arial"/>
          <w:color w:val="4C4C4C"/>
          <w:sz w:val="20"/>
          <w:szCs w:val="20"/>
        </w:rPr>
        <w:br/>
      </w:r>
      <w:r w:rsidRPr="0069608C">
        <w:rPr>
          <w:rStyle w:val="Strong"/>
          <w:rFonts w:ascii="Avenir Book" w:hAnsi="Avenir Book" w:cs="Arial"/>
          <w:color w:val="4C4C4C"/>
          <w:sz w:val="20"/>
          <w:szCs w:val="20"/>
          <w:u w:val="single"/>
          <w:shd w:val="clear" w:color="auto" w:fill="F8F9F9"/>
        </w:rPr>
        <w:t>Principle 2:  Public Defense Must Be Independent of Judicial and Political Control</w:t>
      </w:r>
    </w:p>
    <w:p w14:paraId="40B813B3" w14:textId="76BA896F" w:rsidR="004F1885" w:rsidRPr="0069608C" w:rsidRDefault="00141608" w:rsidP="0069608C">
      <w:pPr>
        <w:jc w:val="both"/>
        <w:rPr>
          <w:rFonts w:ascii="Avenir Book" w:hAnsi="Avenir Book" w:cs="Arial"/>
          <w:color w:val="4C4C4C"/>
          <w:sz w:val="20"/>
          <w:szCs w:val="20"/>
          <w:shd w:val="clear" w:color="auto" w:fill="F8F9F9"/>
        </w:rPr>
      </w:pPr>
      <w:r w:rsidRPr="0069608C">
        <w:rPr>
          <w:rFonts w:ascii="Avenir Book" w:hAnsi="Avenir Book" w:cs="Arial"/>
          <w:color w:val="4C4C4C"/>
          <w:sz w:val="20"/>
          <w:szCs w:val="20"/>
        </w:rPr>
        <w:br/>
      </w:r>
      <w:r w:rsidRPr="0069608C">
        <w:rPr>
          <w:rFonts w:ascii="Avenir Book" w:hAnsi="Avenir Book" w:cs="Arial"/>
          <w:color w:val="4C4C4C"/>
          <w:sz w:val="20"/>
          <w:szCs w:val="20"/>
          <w:shd w:val="clear" w:color="auto" w:fill="F8F9F9"/>
        </w:rPr>
        <w:t>The fair administration of justice requires that representation by lawyers be free from real or perceived inappropriate influence.  Representation should be without political influence and subject to judicial supervision only in the same manner and to the same extent as are prosecutors and attorneys in private practice.  The selection and payment of lawyers should be independent of the judiciary.  The selection of lawyers for specific cases should not be made by the judiciary or elected officials, but should be arranged by administrators of defender, assigned-counsel or contract-for-service programs.  Except in jurisdictions in which public defenders are locally elected, the policy-making function, choice of the chief public defender, and oversight of defense programs should be vested in a commission or board of trustees selected by diverse authorities, including but not limited to, officials from executive and legislative branches of government, heads of bar associations and law school deans.  All persons chosen for a board or commission should be committed to high quality public defense and members should include one or more persons who previously were represented by a public defense lawyer.  Commissions or boards should not include active public defense practitioners, judicial office holders, and active law enforcement officials of any kind such as prosecutors, police, sheriffs, or their staffs.  All systems for defense representation should include both full-time public defenders and private public defense lawyers serving as assigned counsel or pursuant to contracts.</w:t>
      </w:r>
    </w:p>
    <w:p w14:paraId="7CE27701" w14:textId="4FA48CCE" w:rsidR="004F1885" w:rsidRPr="0069608C" w:rsidRDefault="00141608" w:rsidP="0069608C">
      <w:pPr>
        <w:jc w:val="both"/>
        <w:rPr>
          <w:rFonts w:ascii="Avenir Book" w:hAnsi="Avenir Book" w:cs="Arial"/>
          <w:color w:val="4C4C4C"/>
          <w:sz w:val="20"/>
          <w:szCs w:val="20"/>
          <w:shd w:val="clear" w:color="auto" w:fill="F8F9F9"/>
        </w:rPr>
      </w:pPr>
      <w:r w:rsidRPr="0069608C">
        <w:rPr>
          <w:rFonts w:ascii="Avenir Book" w:hAnsi="Avenir Book" w:cs="Arial"/>
          <w:color w:val="4C4C4C"/>
          <w:sz w:val="20"/>
          <w:szCs w:val="20"/>
        </w:rPr>
        <w:br/>
      </w:r>
      <w:r w:rsidRPr="0069608C">
        <w:rPr>
          <w:rStyle w:val="Strong"/>
          <w:rFonts w:ascii="Avenir Book" w:hAnsi="Avenir Book" w:cs="Arial"/>
          <w:color w:val="4C4C4C"/>
          <w:sz w:val="20"/>
          <w:szCs w:val="20"/>
          <w:u w:val="single"/>
          <w:shd w:val="clear" w:color="auto" w:fill="F8F9F9"/>
        </w:rPr>
        <w:t>Principle 3:  The Public Defense Function Must be Administered and Overseen Statewide</w:t>
      </w:r>
      <w:r w:rsidRPr="0069608C">
        <w:rPr>
          <w:rFonts w:ascii="Avenir Book" w:hAnsi="Avenir Book" w:cs="Arial"/>
          <w:color w:val="4C4C4C"/>
          <w:sz w:val="20"/>
          <w:szCs w:val="20"/>
        </w:rPr>
        <w:br/>
      </w:r>
      <w:r w:rsidRPr="0069608C">
        <w:rPr>
          <w:rFonts w:ascii="Avenir Book" w:hAnsi="Avenir Book" w:cs="Arial"/>
          <w:color w:val="4C4C4C"/>
          <w:sz w:val="20"/>
          <w:szCs w:val="20"/>
        </w:rPr>
        <w:br/>
      </w:r>
      <w:r w:rsidRPr="0069608C">
        <w:rPr>
          <w:rFonts w:ascii="Avenir Book" w:hAnsi="Avenir Book" w:cs="Arial"/>
          <w:color w:val="4C4C4C"/>
          <w:sz w:val="20"/>
          <w:szCs w:val="20"/>
          <w:shd w:val="clear" w:color="auto" w:fill="F8F9F9"/>
        </w:rPr>
        <w:lastRenderedPageBreak/>
        <w:t>Except in jurisdictions in which public defenders are locally elected, each state should have a public defense provider (hereafter “provider”) with responsibility for all components of public defense services which is overseen by a board or commission as described in Principle 2.   The provider should have responsibility for establishing qualifications of counsel, determining eligibility standards for appointment of counsel, setting workload and caseload standards, providing for training and other administrative support, and representing the public defense function to policy makers and stakeholders.  The need for the provider to exist at a state level is to ensure that services are consistent in quality, efficiency, effectiveness, and that the same standards are applied in all subdivisions throughout the state.  Where local delivery of public defense services is prevalent without oversight and centralized administration there is significant risk of unjustified variations in the quality of services in the state’s various jurisdictions.  Oversight and consistent administration throughout each state provides a necessary mechanism to evaluate and improve service delivery.</w:t>
      </w:r>
    </w:p>
    <w:p w14:paraId="621CE167" w14:textId="1E44B840" w:rsidR="004F1885" w:rsidRPr="0069608C" w:rsidRDefault="00141608" w:rsidP="0069608C">
      <w:pPr>
        <w:jc w:val="both"/>
        <w:rPr>
          <w:rStyle w:val="Strong"/>
          <w:rFonts w:ascii="Avenir Book" w:hAnsi="Avenir Book" w:cs="Arial"/>
          <w:color w:val="4C4C4C"/>
          <w:sz w:val="20"/>
          <w:szCs w:val="20"/>
          <w:u w:val="single"/>
          <w:shd w:val="clear" w:color="auto" w:fill="F8F9F9"/>
        </w:rPr>
      </w:pPr>
      <w:r w:rsidRPr="0069608C">
        <w:rPr>
          <w:rFonts w:ascii="Avenir Book" w:hAnsi="Avenir Book" w:cs="Arial"/>
          <w:color w:val="4C4C4C"/>
          <w:sz w:val="20"/>
          <w:szCs w:val="20"/>
        </w:rPr>
        <w:br/>
      </w:r>
      <w:r w:rsidRPr="0069608C">
        <w:rPr>
          <w:rStyle w:val="Strong"/>
          <w:rFonts w:ascii="Avenir Book" w:hAnsi="Avenir Book" w:cs="Arial"/>
          <w:color w:val="4C4C4C"/>
          <w:sz w:val="20"/>
          <w:szCs w:val="20"/>
          <w:u w:val="single"/>
          <w:shd w:val="clear" w:color="auto" w:fill="F8F9F9"/>
        </w:rPr>
        <w:t>Principle 4:  The Expense of the Criminal Justice System Is a Government Obligation That Must Not Be Imposed on Defendants</w:t>
      </w:r>
    </w:p>
    <w:p w14:paraId="05A574CE" w14:textId="1CE52838" w:rsidR="004F1885" w:rsidRPr="0069608C" w:rsidRDefault="00141608" w:rsidP="0069608C">
      <w:pPr>
        <w:jc w:val="both"/>
        <w:rPr>
          <w:rFonts w:ascii="Avenir Book" w:hAnsi="Avenir Book" w:cs="Arial"/>
          <w:color w:val="4C4C4C"/>
          <w:sz w:val="20"/>
          <w:szCs w:val="20"/>
          <w:shd w:val="clear" w:color="auto" w:fill="F8F9F9"/>
        </w:rPr>
      </w:pPr>
      <w:r w:rsidRPr="0069608C">
        <w:rPr>
          <w:rFonts w:ascii="Avenir Book" w:hAnsi="Avenir Book" w:cs="Arial"/>
          <w:color w:val="4C4C4C"/>
          <w:sz w:val="20"/>
          <w:szCs w:val="20"/>
        </w:rPr>
        <w:br/>
      </w:r>
      <w:r w:rsidRPr="0069608C">
        <w:rPr>
          <w:rFonts w:ascii="Avenir Book" w:hAnsi="Avenir Book" w:cs="Arial"/>
          <w:color w:val="4C4C4C"/>
          <w:sz w:val="20"/>
          <w:szCs w:val="20"/>
          <w:shd w:val="clear" w:color="auto" w:fill="F8F9F9"/>
        </w:rPr>
        <w:t xml:space="preserve">The duty to fund the criminal justice system is a fundamental government obligation.  Accordingly, the criminal justice system must end its pervasive use of predatory costs, fines, and user fees that are disproportionately borne by those who can least afford it.  Persons encountering the criminal justice system invariably face fines, fees, and costs at every step of the process, including at the pretrial stage.  There are fees for applying for public defense counsel; fees for supervision while on pretrial release; fees for filing pleadings; fees for requesting a jury; and fees for vehicle interlocks or impounded vehicle costs, all before ever having been found guilty of an offense.  This fee </w:t>
      </w:r>
      <w:proofErr w:type="gramStart"/>
      <w:r w:rsidRPr="0069608C">
        <w:rPr>
          <w:rFonts w:ascii="Avenir Book" w:hAnsi="Avenir Book" w:cs="Arial"/>
          <w:color w:val="4C4C4C"/>
          <w:sz w:val="20"/>
          <w:szCs w:val="20"/>
          <w:shd w:val="clear" w:color="auto" w:fill="F8F9F9"/>
        </w:rPr>
        <w:t>based,</w:t>
      </w:r>
      <w:proofErr w:type="gramEnd"/>
      <w:r w:rsidRPr="0069608C">
        <w:rPr>
          <w:rFonts w:ascii="Avenir Book" w:hAnsi="Avenir Book" w:cs="Arial"/>
          <w:color w:val="4C4C4C"/>
          <w:sz w:val="20"/>
          <w:szCs w:val="20"/>
          <w:shd w:val="clear" w:color="auto" w:fill="F8F9F9"/>
        </w:rPr>
        <w:t xml:space="preserve"> user pay system leads to destructive outcomes since the overwhelming majority of persons charged in the criminal justice system are impoverished.  The inability to pay leads to arrests, loss of employment, liberty, housing, and driving privileges.  Ultimately, the various revenue generating mechanisms of the criminal justice system, many of which have proliferated in recent years, undermine public confidence in the purpose and fairness of the courts and the rule of law.</w:t>
      </w:r>
    </w:p>
    <w:p w14:paraId="33441BBB" w14:textId="425047F4" w:rsidR="004F1885" w:rsidRPr="0069608C" w:rsidRDefault="00141608" w:rsidP="0069608C">
      <w:pPr>
        <w:jc w:val="both"/>
        <w:rPr>
          <w:rStyle w:val="Strong"/>
          <w:rFonts w:ascii="Avenir Book" w:hAnsi="Avenir Book" w:cs="Arial"/>
          <w:color w:val="4C4C4C"/>
          <w:sz w:val="20"/>
          <w:szCs w:val="20"/>
          <w:shd w:val="clear" w:color="auto" w:fill="F8F9F9"/>
        </w:rPr>
      </w:pPr>
      <w:r w:rsidRPr="0069608C">
        <w:rPr>
          <w:rFonts w:ascii="Avenir Book" w:hAnsi="Avenir Book" w:cs="Arial"/>
          <w:color w:val="4C4C4C"/>
          <w:sz w:val="20"/>
          <w:szCs w:val="20"/>
        </w:rPr>
        <w:br/>
      </w:r>
      <w:r w:rsidRPr="0069608C">
        <w:rPr>
          <w:rFonts w:ascii="Avenir Book" w:hAnsi="Avenir Book" w:cs="Arial"/>
          <w:color w:val="4C4C4C"/>
          <w:sz w:val="20"/>
          <w:szCs w:val="20"/>
        </w:rPr>
        <w:br/>
      </w:r>
      <w:r w:rsidRPr="0069608C">
        <w:rPr>
          <w:rStyle w:val="Strong"/>
          <w:rFonts w:ascii="Avenir Book" w:hAnsi="Avenir Book" w:cs="Arial"/>
          <w:color w:val="91211B"/>
          <w:sz w:val="20"/>
          <w:szCs w:val="20"/>
          <w:shd w:val="clear" w:color="auto" w:fill="F8F9F9"/>
        </w:rPr>
        <w:t>PRINCIPLES RELATED TO THE QUALITY OF PUBLIC DEFENSE SERVICES</w:t>
      </w:r>
    </w:p>
    <w:p w14:paraId="56E47283" w14:textId="4A6BB44B" w:rsidR="004F1885" w:rsidRPr="0069608C" w:rsidRDefault="00141608" w:rsidP="0069608C">
      <w:pPr>
        <w:jc w:val="both"/>
        <w:rPr>
          <w:rStyle w:val="Strong"/>
          <w:rFonts w:ascii="Avenir Book" w:hAnsi="Avenir Book" w:cs="Arial"/>
          <w:color w:val="4C4C4C"/>
          <w:sz w:val="20"/>
          <w:szCs w:val="20"/>
          <w:u w:val="single"/>
          <w:shd w:val="clear" w:color="auto" w:fill="F8F9F9"/>
        </w:rPr>
      </w:pPr>
      <w:r w:rsidRPr="0069608C">
        <w:rPr>
          <w:rFonts w:ascii="Avenir Book" w:hAnsi="Avenir Book" w:cs="Arial"/>
          <w:color w:val="4C4C4C"/>
          <w:sz w:val="20"/>
          <w:szCs w:val="20"/>
        </w:rPr>
        <w:br/>
      </w:r>
      <w:r w:rsidRPr="0069608C">
        <w:rPr>
          <w:rStyle w:val="Strong"/>
          <w:rFonts w:ascii="Avenir Book" w:hAnsi="Avenir Book" w:cs="Arial"/>
          <w:color w:val="4C4C4C"/>
          <w:sz w:val="20"/>
          <w:szCs w:val="20"/>
          <w:u w:val="single"/>
          <w:shd w:val="clear" w:color="auto" w:fill="F8F9F9"/>
        </w:rPr>
        <w:t>Principle 5:  Workloads of Defense Attorneys Must Always Be Reasonable</w:t>
      </w:r>
    </w:p>
    <w:p w14:paraId="54FC9178" w14:textId="519B35CC" w:rsidR="004F1885" w:rsidRPr="0069608C" w:rsidRDefault="00141608" w:rsidP="0069608C">
      <w:pPr>
        <w:jc w:val="both"/>
        <w:rPr>
          <w:rFonts w:ascii="Avenir Book" w:hAnsi="Avenir Book" w:cs="Arial"/>
          <w:color w:val="4C4C4C"/>
          <w:sz w:val="20"/>
          <w:szCs w:val="20"/>
          <w:shd w:val="clear" w:color="auto" w:fill="F8F9F9"/>
        </w:rPr>
      </w:pPr>
      <w:r w:rsidRPr="0069608C">
        <w:rPr>
          <w:rFonts w:ascii="Avenir Book" w:hAnsi="Avenir Book" w:cs="Arial"/>
          <w:color w:val="4C4C4C"/>
          <w:sz w:val="20"/>
          <w:szCs w:val="20"/>
        </w:rPr>
        <w:br/>
      </w:r>
      <w:r w:rsidRPr="0069608C">
        <w:rPr>
          <w:rFonts w:ascii="Avenir Book" w:hAnsi="Avenir Book" w:cs="Arial"/>
          <w:color w:val="4C4C4C"/>
          <w:sz w:val="20"/>
          <w:szCs w:val="20"/>
          <w:shd w:val="clear" w:color="auto" w:fill="F8F9F9"/>
        </w:rPr>
        <w:t xml:space="preserve">Lawyers who defend adults in criminal cases and juveniles in delinquency proceedings must have reasonable workloads, which enable them to provide conflict-free representation of their clients consistent with their duty to furnish competent and effective assistance of counsel pursuant to rules of professional conduct and prevailing professional norms.  To provide such representation requires initial and ongoing training, adequate support services, including access to investigators, social workers, paralegals, and expert witnesses, as well as ongoing supervision of the representation provided.  When lawyers and/or providers determine that workloads are preventing or are about to prevent the delivery of defense services consistent with ethical and constitutional duties to clients, the lawyers and/or provider should be authorized to refer cases to another public defense provider participating in the jurisdiction’s plan for representation.  Alternatively, lawyers and/or the provider must take appropriate steps pursuant to their state’s rules of professional conduct either to refuse additional cases and/or seek to withdraw from existing cases.  Reasonable workloads for lawyers should be determined through time studies utilizing Delphi </w:t>
      </w:r>
      <w:r w:rsidRPr="0069608C">
        <w:rPr>
          <w:rFonts w:ascii="Avenir Book" w:hAnsi="Avenir Book" w:cs="Arial"/>
          <w:color w:val="4C4C4C"/>
          <w:sz w:val="20"/>
          <w:szCs w:val="20"/>
          <w:shd w:val="clear" w:color="auto" w:fill="F8F9F9"/>
        </w:rPr>
        <w:lastRenderedPageBreak/>
        <w:t>methodology.  Permanent timekeeping by defense lawyers should be used to facilitate periodic workload studies, for management purposes, and to demonstrate the transparency and responsibility of providers. </w:t>
      </w:r>
    </w:p>
    <w:p w14:paraId="0739046A" w14:textId="7D69742F" w:rsidR="004F1885" w:rsidRPr="0069608C" w:rsidRDefault="00141608" w:rsidP="0069608C">
      <w:pPr>
        <w:jc w:val="both"/>
        <w:rPr>
          <w:rStyle w:val="Strong"/>
          <w:rFonts w:ascii="Avenir Book" w:hAnsi="Avenir Book" w:cs="Arial"/>
          <w:color w:val="4C4C4C"/>
          <w:sz w:val="20"/>
          <w:szCs w:val="20"/>
          <w:u w:val="single"/>
          <w:shd w:val="clear" w:color="auto" w:fill="F8F9F9"/>
        </w:rPr>
      </w:pPr>
      <w:r w:rsidRPr="0069608C">
        <w:rPr>
          <w:rFonts w:ascii="Avenir Book" w:hAnsi="Avenir Book" w:cs="Arial"/>
          <w:color w:val="4C4C4C"/>
          <w:sz w:val="20"/>
          <w:szCs w:val="20"/>
        </w:rPr>
        <w:br/>
      </w:r>
      <w:r w:rsidRPr="0069608C">
        <w:rPr>
          <w:rStyle w:val="Strong"/>
          <w:rFonts w:ascii="Avenir Book" w:hAnsi="Avenir Book" w:cs="Arial"/>
          <w:color w:val="4C4C4C"/>
          <w:sz w:val="20"/>
          <w:szCs w:val="20"/>
          <w:u w:val="single"/>
          <w:shd w:val="clear" w:color="auto" w:fill="F8F9F9"/>
        </w:rPr>
        <w:t>Principle 6:  Training and Continuing Education are Essential for Providing Competent and Effective Defense Representation</w:t>
      </w:r>
    </w:p>
    <w:p w14:paraId="5A33DC74" w14:textId="03340326" w:rsidR="004F1885" w:rsidRPr="0069608C" w:rsidRDefault="00141608" w:rsidP="0069608C">
      <w:pPr>
        <w:jc w:val="both"/>
        <w:rPr>
          <w:rFonts w:ascii="Avenir Book" w:hAnsi="Avenir Book" w:cs="Arial"/>
          <w:color w:val="4C4C4C"/>
          <w:sz w:val="20"/>
          <w:szCs w:val="20"/>
          <w:shd w:val="clear" w:color="auto" w:fill="F8F9F9"/>
        </w:rPr>
      </w:pPr>
      <w:r w:rsidRPr="0069608C">
        <w:rPr>
          <w:rFonts w:ascii="Avenir Book" w:hAnsi="Avenir Book" w:cs="Arial"/>
          <w:color w:val="4C4C4C"/>
          <w:sz w:val="20"/>
          <w:szCs w:val="20"/>
        </w:rPr>
        <w:br/>
      </w:r>
      <w:r w:rsidRPr="0069608C">
        <w:rPr>
          <w:rFonts w:ascii="Avenir Book" w:hAnsi="Avenir Book" w:cs="Arial"/>
          <w:color w:val="4C4C4C"/>
          <w:sz w:val="20"/>
          <w:szCs w:val="20"/>
          <w:shd w:val="clear" w:color="auto" w:fill="F8F9F9"/>
        </w:rPr>
        <w:t>To be competent and effective, lawyers and other public defense professionals must be well trained and providers must make available quality training and education as required.  Regardless of their size, structure, or delivery system, the training and education provided by providers should extend to all lawyers, as well as investigators, mitigation specialists, social workers, administrators, and all others who support the defense function.  Training and education should be provided on a regular basis at no cost to attendees and all providers should have a dedicated budget allocated for ongoing training and education. </w:t>
      </w:r>
    </w:p>
    <w:p w14:paraId="0C244E6F" w14:textId="7086ECB6" w:rsidR="004F1885" w:rsidRPr="0069608C" w:rsidRDefault="00141608" w:rsidP="0069608C">
      <w:pPr>
        <w:jc w:val="both"/>
        <w:rPr>
          <w:rStyle w:val="Strong"/>
          <w:rFonts w:ascii="Avenir Book" w:hAnsi="Avenir Book" w:cs="Arial"/>
          <w:color w:val="4C4C4C"/>
          <w:sz w:val="20"/>
          <w:szCs w:val="20"/>
          <w:u w:val="single"/>
          <w:shd w:val="clear" w:color="auto" w:fill="F8F9F9"/>
        </w:rPr>
      </w:pPr>
      <w:r w:rsidRPr="0069608C">
        <w:rPr>
          <w:rFonts w:ascii="Avenir Book" w:hAnsi="Avenir Book" w:cs="Arial"/>
          <w:color w:val="4C4C4C"/>
          <w:sz w:val="20"/>
          <w:szCs w:val="20"/>
        </w:rPr>
        <w:br/>
      </w:r>
      <w:r w:rsidRPr="0069608C">
        <w:rPr>
          <w:rStyle w:val="Strong"/>
          <w:rFonts w:ascii="Avenir Book" w:hAnsi="Avenir Book" w:cs="Arial"/>
          <w:color w:val="4C4C4C"/>
          <w:sz w:val="20"/>
          <w:szCs w:val="20"/>
          <w:u w:val="single"/>
          <w:shd w:val="clear" w:color="auto" w:fill="F8F9F9"/>
        </w:rPr>
        <w:t>Principle 7:  Appropriate Supervision of All Public Defense Lawyers and Other Public Defense Professionals Is Essential</w:t>
      </w:r>
    </w:p>
    <w:p w14:paraId="4C324809" w14:textId="62A86065" w:rsidR="004F1885" w:rsidRPr="0069608C" w:rsidRDefault="00141608" w:rsidP="0069608C">
      <w:pPr>
        <w:jc w:val="both"/>
        <w:rPr>
          <w:rFonts w:ascii="Avenir Book" w:hAnsi="Avenir Book" w:cs="Arial"/>
          <w:color w:val="4C4C4C"/>
          <w:sz w:val="20"/>
          <w:szCs w:val="20"/>
          <w:shd w:val="clear" w:color="auto" w:fill="F8F9F9"/>
        </w:rPr>
      </w:pPr>
      <w:r w:rsidRPr="0069608C">
        <w:rPr>
          <w:rFonts w:ascii="Avenir Book" w:hAnsi="Avenir Book" w:cs="Arial"/>
          <w:color w:val="4C4C4C"/>
          <w:sz w:val="20"/>
          <w:szCs w:val="20"/>
        </w:rPr>
        <w:br/>
      </w:r>
      <w:r w:rsidRPr="0069608C">
        <w:rPr>
          <w:rFonts w:ascii="Avenir Book" w:hAnsi="Avenir Book" w:cs="Arial"/>
          <w:color w:val="4C4C4C"/>
          <w:sz w:val="20"/>
          <w:szCs w:val="20"/>
          <w:shd w:val="clear" w:color="auto" w:fill="F8F9F9"/>
        </w:rPr>
        <w:t>Public defense providers must provide regular and timely supervision as needed of all lawyers and other professionals.  The objective of supervision is to assure that all defense services provided by lawyers are competent within the meaning of rules of professional conduct and effective pursuant to prevailing professional standards.  Accordingly, supervision should determine if sufficient time, thought, and resources are being devoted to a wide variety of defense tasks, such as interviewing and counseling of clients, securing pretrial release of incarcerated clients, completion of fact investigations prior to formulating recommendations about plea agreements, formal and informal discovery is conducted, and preparation for pretrial hearings, trials, and sentencing proceedings.  Supervision should also include continuous monitoring of lawyer workloads to assure that all essential tasks of defense representation are being completed. </w:t>
      </w:r>
    </w:p>
    <w:p w14:paraId="3884C204" w14:textId="77777777" w:rsidR="004F1885" w:rsidRPr="0069608C" w:rsidRDefault="00141608" w:rsidP="0069608C">
      <w:pPr>
        <w:jc w:val="both"/>
        <w:rPr>
          <w:rStyle w:val="Strong"/>
          <w:rFonts w:ascii="Avenir Book" w:hAnsi="Avenir Book" w:cs="Arial"/>
          <w:color w:val="4C4C4C"/>
          <w:sz w:val="20"/>
          <w:szCs w:val="20"/>
          <w:u w:val="single"/>
          <w:shd w:val="clear" w:color="auto" w:fill="F8F9F9"/>
        </w:rPr>
      </w:pPr>
      <w:r w:rsidRPr="0069608C">
        <w:rPr>
          <w:rFonts w:ascii="Avenir Book" w:hAnsi="Avenir Book" w:cs="Arial"/>
          <w:color w:val="4C4C4C"/>
          <w:sz w:val="20"/>
          <w:szCs w:val="20"/>
        </w:rPr>
        <w:br/>
      </w:r>
      <w:r w:rsidRPr="0069608C">
        <w:rPr>
          <w:rStyle w:val="Strong"/>
          <w:rFonts w:ascii="Avenir Book" w:hAnsi="Avenir Book" w:cs="Arial"/>
          <w:color w:val="4C4C4C"/>
          <w:sz w:val="20"/>
          <w:szCs w:val="20"/>
          <w:u w:val="single"/>
          <w:shd w:val="clear" w:color="auto" w:fill="F8F9F9"/>
        </w:rPr>
        <w:t>Principle 8:  Public Defense Representation Should Be Client Centered and Holistic</w:t>
      </w:r>
    </w:p>
    <w:p w14:paraId="638DC527" w14:textId="3C0D3B4A" w:rsidR="004F1885" w:rsidRPr="0069608C" w:rsidRDefault="00141608" w:rsidP="0069608C">
      <w:pPr>
        <w:jc w:val="both"/>
        <w:rPr>
          <w:rFonts w:ascii="Avenir Book" w:hAnsi="Avenir Book" w:cs="Arial"/>
          <w:color w:val="4C4C4C"/>
          <w:sz w:val="20"/>
          <w:szCs w:val="20"/>
          <w:shd w:val="clear" w:color="auto" w:fill="F8F9F9"/>
        </w:rPr>
      </w:pPr>
      <w:r w:rsidRPr="0069608C">
        <w:rPr>
          <w:rFonts w:ascii="Avenir Book" w:hAnsi="Avenir Book" w:cs="Arial"/>
          <w:color w:val="4C4C4C"/>
          <w:sz w:val="20"/>
          <w:szCs w:val="20"/>
        </w:rPr>
        <w:br/>
      </w:r>
      <w:r w:rsidRPr="0069608C">
        <w:rPr>
          <w:rFonts w:ascii="Avenir Book" w:hAnsi="Avenir Book" w:cs="Arial"/>
          <w:color w:val="4C4C4C"/>
          <w:sz w:val="20"/>
          <w:szCs w:val="20"/>
          <w:shd w:val="clear" w:color="auto" w:fill="F8F9F9"/>
        </w:rPr>
        <w:t>Client-centered representation should be practiced by public defense lawyers and other defense professionals in satisfying the constitutional right to counsel.  Client-centered representation means that the lawyers and other defense professionals recognize and respect the client’s authority, ability, and right to decide the direction that the client’s case should take after being fully advised of all available options.  Holistic representation (sometimes called “comprehensive representation”) complements client-centered representation because it is the most effective approach in seeking the full range of best outcomes desired by and on behalf of clients.  By addressing underlying criminogenic factors through broad based representation more favorable outcomes are achieved, thereby enhancing the lives of clients, reducing recidivism, and improving public safety.  Public defense lawyers and other defense professionals should collaborate with civil practitioners, civil legal services organizations, social service program providers and other non-lawyer professionals who serve, or assist in serving, clients with civil legal and non-legal problems impacting housing, health care, education, and food security.  Lawyers and providers of defense services should retain such additional professionals as permanent staff or as necessary on a case-by-case basis.</w:t>
      </w:r>
    </w:p>
    <w:p w14:paraId="256E5570" w14:textId="0DE59837" w:rsidR="004F1885" w:rsidRPr="0069608C" w:rsidRDefault="00141608" w:rsidP="0069608C">
      <w:pPr>
        <w:jc w:val="both"/>
        <w:rPr>
          <w:rStyle w:val="Strong"/>
          <w:rFonts w:ascii="Avenir Book" w:hAnsi="Avenir Book" w:cs="Arial"/>
          <w:color w:val="4C4C4C"/>
          <w:sz w:val="20"/>
          <w:szCs w:val="20"/>
          <w:u w:val="single"/>
          <w:shd w:val="clear" w:color="auto" w:fill="F8F9F9"/>
        </w:rPr>
      </w:pPr>
      <w:r w:rsidRPr="0069608C">
        <w:rPr>
          <w:rFonts w:ascii="Avenir Book" w:hAnsi="Avenir Book" w:cs="Arial"/>
          <w:color w:val="4C4C4C"/>
          <w:sz w:val="20"/>
          <w:szCs w:val="20"/>
        </w:rPr>
        <w:br/>
      </w:r>
      <w:r w:rsidRPr="0069608C">
        <w:rPr>
          <w:rStyle w:val="Strong"/>
          <w:rFonts w:ascii="Avenir Book" w:hAnsi="Avenir Book" w:cs="Arial"/>
          <w:color w:val="4C4C4C"/>
          <w:sz w:val="20"/>
          <w:szCs w:val="20"/>
          <w:u w:val="single"/>
          <w:shd w:val="clear" w:color="auto" w:fill="F8F9F9"/>
        </w:rPr>
        <w:t>Principle 9: The Duty of Public Defense Lawyers Is to Provide Clients Quality Legal Representation Consistent with Rules of Professional Conduct and Prevailing Professional Norms</w:t>
      </w:r>
    </w:p>
    <w:p w14:paraId="2AC249BD" w14:textId="4E1EC7D8" w:rsidR="004F1885" w:rsidRPr="0069608C" w:rsidRDefault="00141608" w:rsidP="0069608C">
      <w:pPr>
        <w:jc w:val="both"/>
        <w:rPr>
          <w:rFonts w:ascii="Avenir Book" w:hAnsi="Avenir Book" w:cs="Arial"/>
          <w:color w:val="4C4C4C"/>
          <w:sz w:val="20"/>
          <w:szCs w:val="20"/>
          <w:shd w:val="clear" w:color="auto" w:fill="F8F9F9"/>
        </w:rPr>
      </w:pPr>
      <w:r w:rsidRPr="0069608C">
        <w:rPr>
          <w:rFonts w:ascii="Avenir Book" w:hAnsi="Avenir Book" w:cs="Arial"/>
          <w:color w:val="4C4C4C"/>
          <w:sz w:val="20"/>
          <w:szCs w:val="20"/>
        </w:rPr>
        <w:lastRenderedPageBreak/>
        <w:br/>
      </w:r>
      <w:r w:rsidRPr="0069608C">
        <w:rPr>
          <w:rFonts w:ascii="Avenir Book" w:hAnsi="Avenir Book" w:cs="Arial"/>
          <w:color w:val="4C4C4C"/>
          <w:sz w:val="20"/>
          <w:szCs w:val="20"/>
          <w:shd w:val="clear" w:color="auto" w:fill="F8F9F9"/>
        </w:rPr>
        <w:t>Public Defense lawyers must always provide their clients competent and diligent representation, as well as representation that is reasonably effective assistance pursuant to prevailing professional norms.  This includes empowering clients to exercise their constitutional and statutory rights, including the right to jury trial, and to litigate fully all appropriate motions to facilitate the best outcomes for their clients.  Effective representation includes ensuring that all cases are fully investigated and prepared for trial, and that clients are fully informed of their right to a jury trial.  Public defense lawyers should not advise clients to plead guilty until all defenses have been carefully investigated, reviewed, considered and explained to clients.  Although the jury trial decision is always to be made by clients, public defense lawyers should provide clients with the necessary information to make informed decisions about whether to have a trial or accept a plea agreement. </w:t>
      </w:r>
    </w:p>
    <w:p w14:paraId="479CDB7E" w14:textId="77777777" w:rsidR="004F1885" w:rsidRPr="0069608C" w:rsidRDefault="004F1885" w:rsidP="0069608C">
      <w:pPr>
        <w:jc w:val="both"/>
        <w:rPr>
          <w:rFonts w:ascii="Avenir Book" w:hAnsi="Avenir Book" w:cs="Arial"/>
          <w:color w:val="4C4C4C"/>
          <w:sz w:val="20"/>
          <w:szCs w:val="20"/>
        </w:rPr>
      </w:pPr>
    </w:p>
    <w:p w14:paraId="6A95B9E6" w14:textId="0D09AF75" w:rsidR="004F1885" w:rsidRPr="0069608C" w:rsidRDefault="00141608" w:rsidP="0069608C">
      <w:pPr>
        <w:jc w:val="both"/>
        <w:rPr>
          <w:rStyle w:val="Strong"/>
          <w:rFonts w:ascii="Avenir Book" w:hAnsi="Avenir Book" w:cs="Arial"/>
          <w:color w:val="4C4C4C"/>
          <w:sz w:val="20"/>
          <w:szCs w:val="20"/>
          <w:shd w:val="clear" w:color="auto" w:fill="F8F9F9"/>
        </w:rPr>
      </w:pPr>
      <w:r w:rsidRPr="0069608C">
        <w:rPr>
          <w:rFonts w:ascii="Avenir Book" w:hAnsi="Avenir Book" w:cs="Arial"/>
          <w:color w:val="4C4C4C"/>
          <w:sz w:val="20"/>
          <w:szCs w:val="20"/>
        </w:rPr>
        <w:br/>
      </w:r>
      <w:r w:rsidRPr="0069608C">
        <w:rPr>
          <w:rStyle w:val="Strong"/>
          <w:rFonts w:ascii="Avenir Book" w:hAnsi="Avenir Book" w:cs="Arial"/>
          <w:color w:val="91211B"/>
          <w:sz w:val="20"/>
          <w:szCs w:val="20"/>
          <w:shd w:val="clear" w:color="auto" w:fill="F8F9F9"/>
        </w:rPr>
        <w:t>PRINCIPLES RELATED TO CRIMINAL AND JUVENILE JUSTICE SYSTEMS AND THE TREATMENT OF ACCUSED PERSONS</w:t>
      </w:r>
    </w:p>
    <w:p w14:paraId="18F672B1" w14:textId="114E33A7" w:rsidR="004F1885" w:rsidRPr="0069608C" w:rsidRDefault="00141608" w:rsidP="0069608C">
      <w:pPr>
        <w:jc w:val="both"/>
        <w:rPr>
          <w:rStyle w:val="Strong"/>
          <w:rFonts w:ascii="Avenir Book" w:hAnsi="Avenir Book" w:cs="Arial"/>
          <w:color w:val="4C4C4C"/>
          <w:sz w:val="20"/>
          <w:szCs w:val="20"/>
          <w:u w:val="single"/>
          <w:shd w:val="clear" w:color="auto" w:fill="F8F9F9"/>
        </w:rPr>
      </w:pPr>
      <w:r w:rsidRPr="0069608C">
        <w:rPr>
          <w:rFonts w:ascii="Avenir Book" w:hAnsi="Avenir Book" w:cs="Arial"/>
          <w:color w:val="4C4C4C"/>
          <w:sz w:val="20"/>
          <w:szCs w:val="20"/>
        </w:rPr>
        <w:br/>
      </w:r>
      <w:r w:rsidRPr="0069608C">
        <w:rPr>
          <w:rStyle w:val="Strong"/>
          <w:rFonts w:ascii="Avenir Book" w:hAnsi="Avenir Book" w:cs="Arial"/>
          <w:color w:val="4C4C4C"/>
          <w:sz w:val="20"/>
          <w:szCs w:val="20"/>
          <w:u w:val="single"/>
          <w:shd w:val="clear" w:color="auto" w:fill="F8F9F9"/>
        </w:rPr>
        <w:t>Principle 10:  Public Defense Providers Must Seek to Change the Pervasive Cultural Prejudice that Stigmatizes and Marginalizes Poor People</w:t>
      </w:r>
    </w:p>
    <w:p w14:paraId="75D78CC0" w14:textId="2811CE29" w:rsidR="004F1885" w:rsidRPr="0069608C" w:rsidRDefault="00141608" w:rsidP="0069608C">
      <w:pPr>
        <w:jc w:val="both"/>
        <w:rPr>
          <w:rFonts w:ascii="Avenir Book" w:hAnsi="Avenir Book" w:cs="Arial"/>
          <w:color w:val="4C4C4C"/>
          <w:sz w:val="20"/>
          <w:szCs w:val="20"/>
          <w:shd w:val="clear" w:color="auto" w:fill="F8F9F9"/>
        </w:rPr>
      </w:pPr>
      <w:r w:rsidRPr="0069608C">
        <w:rPr>
          <w:rFonts w:ascii="Avenir Book" w:hAnsi="Avenir Book" w:cs="Arial"/>
          <w:color w:val="4C4C4C"/>
          <w:sz w:val="20"/>
          <w:szCs w:val="20"/>
        </w:rPr>
        <w:br/>
      </w:r>
      <w:r w:rsidRPr="0069608C">
        <w:rPr>
          <w:rFonts w:ascii="Avenir Book" w:hAnsi="Avenir Book" w:cs="Arial"/>
          <w:color w:val="4C4C4C"/>
          <w:sz w:val="20"/>
          <w:szCs w:val="20"/>
          <w:shd w:val="clear" w:color="auto" w:fill="F8F9F9"/>
        </w:rPr>
        <w:t>The overwhelming majority of persons charged with criminal offenses and juvenile delinquency are poor, which often contributes to greater poverty for the accused and their families due to fines and/or incarceration.  This reality leads to pervasive cultural prejudice against the poor in our justice systems, which is particularly acute towards persons of color.  In response, public defense service providers must seek to de-stigmatize poverty with every client they represent.  Appropriate steps may include challenging the imposition of fines and fees, engaging in comprehensive intake interviews, pre-trial advocacy, mitigation and sentencing advocacy, and, if appropriate, presenting the client’s unique struggle in poverty in relationship to the offense(s) with which the defendant or juvenile is charged.  Public defense programs must also seek systemic reforms to counter the stigma that the poor endure and limit their marginalization after contact with criminal and juvenile justice systems.  Appropriate steps may include seeking non-discriminatory policing and enforcement policies, bail reform, fines and fees litigation, pre-trial programs, diversion and treatment courts, alternative sentencing opportunities, increased access to needed social service programs, and advocacy to eliminate collateral consequences that attach to arrests and convictions.</w:t>
      </w:r>
    </w:p>
    <w:p w14:paraId="0529A085" w14:textId="0D6FE6AA" w:rsidR="004F1885" w:rsidRPr="0069608C" w:rsidRDefault="00141608" w:rsidP="0069608C">
      <w:pPr>
        <w:jc w:val="both"/>
        <w:rPr>
          <w:rStyle w:val="Strong"/>
          <w:rFonts w:ascii="Avenir Book" w:hAnsi="Avenir Book" w:cs="Arial"/>
          <w:color w:val="4C4C4C"/>
          <w:sz w:val="20"/>
          <w:szCs w:val="20"/>
          <w:u w:val="single"/>
          <w:shd w:val="clear" w:color="auto" w:fill="F8F9F9"/>
        </w:rPr>
      </w:pPr>
      <w:r w:rsidRPr="0069608C">
        <w:rPr>
          <w:rFonts w:ascii="Avenir Book" w:hAnsi="Avenir Book" w:cs="Arial"/>
          <w:color w:val="4C4C4C"/>
          <w:sz w:val="20"/>
          <w:szCs w:val="20"/>
        </w:rPr>
        <w:br/>
      </w:r>
      <w:r w:rsidRPr="0069608C">
        <w:rPr>
          <w:rStyle w:val="Strong"/>
          <w:rFonts w:ascii="Avenir Book" w:hAnsi="Avenir Book" w:cs="Arial"/>
          <w:color w:val="4C4C4C"/>
          <w:sz w:val="20"/>
          <w:szCs w:val="20"/>
          <w:u w:val="single"/>
          <w:shd w:val="clear" w:color="auto" w:fill="F8F9F9"/>
        </w:rPr>
        <w:t>Principle 11:  Competent and Effective Defense Representation Is Necessary to Eliminate Mass Incarceration</w:t>
      </w:r>
    </w:p>
    <w:p w14:paraId="30A17A9D" w14:textId="67825125" w:rsidR="004F1885" w:rsidRPr="0069608C" w:rsidRDefault="00141608" w:rsidP="0069608C">
      <w:pPr>
        <w:jc w:val="both"/>
        <w:rPr>
          <w:rFonts w:ascii="Avenir Book" w:hAnsi="Avenir Book" w:cs="Arial"/>
          <w:color w:val="4C4C4C"/>
          <w:sz w:val="20"/>
          <w:szCs w:val="20"/>
          <w:shd w:val="clear" w:color="auto" w:fill="F8F9F9"/>
        </w:rPr>
      </w:pPr>
      <w:r w:rsidRPr="0069608C">
        <w:rPr>
          <w:rFonts w:ascii="Avenir Book" w:hAnsi="Avenir Book" w:cs="Arial"/>
          <w:color w:val="4C4C4C"/>
          <w:sz w:val="20"/>
          <w:szCs w:val="20"/>
        </w:rPr>
        <w:br/>
      </w:r>
      <w:r w:rsidRPr="0069608C">
        <w:rPr>
          <w:rFonts w:ascii="Avenir Book" w:hAnsi="Avenir Book" w:cs="Arial"/>
          <w:color w:val="4C4C4C"/>
          <w:sz w:val="20"/>
          <w:szCs w:val="20"/>
          <w:shd w:val="clear" w:color="auto" w:fill="F8F9F9"/>
        </w:rPr>
        <w:t>Well-funded and properly resourced public defense providers are essential in order to eliminate mass incarceration.  Adherence to Principle 1, which calls for lawyers to interview defendants prior to their first court appearance and for waivers of counsel to be rare, will help eliminate “slow-counsel” and “no-counsel courts,” reduce incarceration by providing advocacy in support of pretrial release for accused persons, and challenge the use of jails and prisons as predatory collection vehicles for costs, fees, and fines.  Decisions to incarcerate defendants should be individualized and grounded upon evidence-based risk assessments.  Properly resourced providers and lawyers can advocate successfully for the placement of convicted defendants in alternative programs that are less costly and more effective than incarceration and also urge that certain non-serious misdemeanors be reclassified and subject only to fines, thereby contributing to a reduction in mass incarceration.    </w:t>
      </w:r>
    </w:p>
    <w:p w14:paraId="54CB9B4E" w14:textId="0C2E0644" w:rsidR="004F1885" w:rsidRPr="0069608C" w:rsidRDefault="00141608" w:rsidP="0069608C">
      <w:pPr>
        <w:jc w:val="both"/>
        <w:rPr>
          <w:rStyle w:val="Strong"/>
          <w:rFonts w:ascii="Avenir Book" w:hAnsi="Avenir Book" w:cs="Arial"/>
          <w:color w:val="4C4C4C"/>
          <w:sz w:val="20"/>
          <w:szCs w:val="20"/>
          <w:u w:val="single"/>
          <w:shd w:val="clear" w:color="auto" w:fill="F8F9F9"/>
        </w:rPr>
      </w:pPr>
      <w:r w:rsidRPr="0069608C">
        <w:rPr>
          <w:rFonts w:ascii="Avenir Book" w:hAnsi="Avenir Book" w:cs="Arial"/>
          <w:color w:val="4C4C4C"/>
          <w:sz w:val="20"/>
          <w:szCs w:val="20"/>
        </w:rPr>
        <w:lastRenderedPageBreak/>
        <w:br/>
      </w:r>
      <w:r w:rsidRPr="0069608C">
        <w:rPr>
          <w:rStyle w:val="Strong"/>
          <w:rFonts w:ascii="Avenir Book" w:hAnsi="Avenir Book" w:cs="Arial"/>
          <w:color w:val="4C4C4C"/>
          <w:sz w:val="20"/>
          <w:szCs w:val="20"/>
          <w:u w:val="single"/>
          <w:shd w:val="clear" w:color="auto" w:fill="F8F9F9"/>
        </w:rPr>
        <w:t>Principle 12:  Public Defense Providers Must Address Disparate Treatment of Racial and Ethnic Minorities in the Justice Systems</w:t>
      </w:r>
    </w:p>
    <w:p w14:paraId="1739EBF9" w14:textId="100E35AE" w:rsidR="004F1885" w:rsidRPr="0069608C" w:rsidRDefault="00141608" w:rsidP="0069608C">
      <w:pPr>
        <w:jc w:val="both"/>
        <w:rPr>
          <w:rFonts w:ascii="Avenir Book" w:hAnsi="Avenir Book" w:cs="Arial"/>
          <w:color w:val="4C4C4C"/>
          <w:sz w:val="20"/>
          <w:szCs w:val="20"/>
          <w:shd w:val="clear" w:color="auto" w:fill="F8F9F9"/>
        </w:rPr>
      </w:pPr>
      <w:r w:rsidRPr="0069608C">
        <w:rPr>
          <w:rFonts w:ascii="Avenir Book" w:hAnsi="Avenir Book" w:cs="Arial"/>
          <w:color w:val="4C4C4C"/>
          <w:sz w:val="20"/>
          <w:szCs w:val="20"/>
        </w:rPr>
        <w:br/>
      </w:r>
      <w:r w:rsidRPr="0069608C">
        <w:rPr>
          <w:rFonts w:ascii="Avenir Book" w:hAnsi="Avenir Book" w:cs="Arial"/>
          <w:color w:val="4C4C4C"/>
          <w:sz w:val="20"/>
          <w:szCs w:val="20"/>
          <w:shd w:val="clear" w:color="auto" w:fill="F8F9F9"/>
        </w:rPr>
        <w:t>Racial and ethnic bias persists in our criminal justice systems and leads to disparate outcomes at every stage of the process, impacting persons who are stopped, arrested, released pretrial, sentenced to probation, paroled, and who receive the death penalty or life without parole.  Racial and ethnic bias also is present throughout juvenile justice systems, impacting persons transferred to adult court, placed in diversion programs, and committed to custody.  These outcome differences undermine fairness in our criminal and juvenile justice systems and prevent the achievement of equal justice under law.  Justice systems must openly embrace gathering data on racial and ethnic bias and take bold and continuous steps to address the problem.  Public defense providers and lawyers, as well as other defense professionals, must examine their own practices and outcomes to ensure that effects of race and ethnicity, including implicit bias, are eliminated.  To eradicate racial disparities, providers require the capacity and funding to challenge systemically racial and ethnic bias in criminal and juvenile justice systems.</w:t>
      </w:r>
    </w:p>
    <w:p w14:paraId="7898814E" w14:textId="1C6955D3" w:rsidR="004F1885" w:rsidRPr="0069608C" w:rsidRDefault="00141608" w:rsidP="0069608C">
      <w:pPr>
        <w:jc w:val="both"/>
        <w:rPr>
          <w:rStyle w:val="Strong"/>
          <w:rFonts w:ascii="Avenir Book" w:hAnsi="Avenir Book" w:cs="Arial"/>
          <w:color w:val="4C4C4C"/>
          <w:sz w:val="20"/>
          <w:szCs w:val="20"/>
          <w:u w:val="single"/>
          <w:shd w:val="clear" w:color="auto" w:fill="F8F9F9"/>
        </w:rPr>
      </w:pPr>
      <w:r w:rsidRPr="0069608C">
        <w:rPr>
          <w:rFonts w:ascii="Avenir Book" w:hAnsi="Avenir Book" w:cs="Arial"/>
          <w:color w:val="4C4C4C"/>
          <w:sz w:val="20"/>
          <w:szCs w:val="20"/>
        </w:rPr>
        <w:br/>
      </w:r>
      <w:r w:rsidRPr="0069608C">
        <w:rPr>
          <w:rStyle w:val="Strong"/>
          <w:rFonts w:ascii="Avenir Book" w:hAnsi="Avenir Book" w:cs="Arial"/>
          <w:color w:val="4C4C4C"/>
          <w:sz w:val="20"/>
          <w:szCs w:val="20"/>
          <w:u w:val="single"/>
          <w:shd w:val="clear" w:color="auto" w:fill="F8F9F9"/>
        </w:rPr>
        <w:t>Principle 13:</w:t>
      </w:r>
      <w:r w:rsidRPr="0069608C">
        <w:rPr>
          <w:rFonts w:ascii="Avenir Book" w:hAnsi="Avenir Book" w:cs="Arial"/>
          <w:color w:val="4C4C4C"/>
          <w:sz w:val="20"/>
          <w:szCs w:val="20"/>
          <w:u w:val="single"/>
          <w:shd w:val="clear" w:color="auto" w:fill="F8F9F9"/>
        </w:rPr>
        <w:t>  </w:t>
      </w:r>
      <w:r w:rsidRPr="0069608C">
        <w:rPr>
          <w:rStyle w:val="Strong"/>
          <w:rFonts w:ascii="Avenir Book" w:hAnsi="Avenir Book" w:cs="Arial"/>
          <w:color w:val="4C4C4C"/>
          <w:sz w:val="20"/>
          <w:szCs w:val="20"/>
          <w:u w:val="single"/>
          <w:shd w:val="clear" w:color="auto" w:fill="F8F9F9"/>
        </w:rPr>
        <w:t>The Use of Punitive Measures Against Persons Who Have Mental Disorders or Other Types of Cognitive Impairments Must End</w:t>
      </w:r>
    </w:p>
    <w:p w14:paraId="5EBBAA23" w14:textId="77777777" w:rsidR="004F1885" w:rsidRPr="0069608C" w:rsidRDefault="00141608" w:rsidP="0069608C">
      <w:pPr>
        <w:jc w:val="both"/>
        <w:rPr>
          <w:rFonts w:ascii="Avenir Book" w:hAnsi="Avenir Book" w:cs="Arial"/>
          <w:color w:val="4C4C4C"/>
          <w:sz w:val="20"/>
          <w:szCs w:val="20"/>
          <w:shd w:val="clear" w:color="auto" w:fill="F8F9F9"/>
        </w:rPr>
      </w:pPr>
      <w:r w:rsidRPr="0069608C">
        <w:rPr>
          <w:rFonts w:ascii="Avenir Book" w:hAnsi="Avenir Book" w:cs="Arial"/>
          <w:color w:val="4C4C4C"/>
          <w:sz w:val="20"/>
          <w:szCs w:val="20"/>
        </w:rPr>
        <w:br/>
      </w:r>
      <w:r w:rsidRPr="0069608C">
        <w:rPr>
          <w:rFonts w:ascii="Avenir Book" w:hAnsi="Avenir Book" w:cs="Arial"/>
          <w:color w:val="4C4C4C"/>
          <w:sz w:val="20"/>
          <w:szCs w:val="20"/>
          <w:shd w:val="clear" w:color="auto" w:fill="F8F9F9"/>
        </w:rPr>
        <w:t>The criminalization and punishment of persons with mental disorders, cognitive disabilities or trauma is never justified.  The appropriate space for the protection of people with mental disorders is a facility intended and equipped for mental health treatment.  Public defense providers should oppose the use of incarceration where treatment is a more appropriate placement.  Lawyers must make special efforts to prevent mental torture imposed on persons in the name of protection or shelter, such as the use of solitary confinement to "protect" a vulnerable person.</w:t>
      </w:r>
    </w:p>
    <w:p w14:paraId="7BA75BB7" w14:textId="77777777" w:rsidR="004F1885" w:rsidRPr="0069608C" w:rsidRDefault="00141608" w:rsidP="0069608C">
      <w:pPr>
        <w:jc w:val="both"/>
        <w:rPr>
          <w:rStyle w:val="Strong"/>
          <w:rFonts w:ascii="Avenir Book" w:hAnsi="Avenir Book" w:cs="Arial"/>
          <w:color w:val="4C4C4C"/>
          <w:sz w:val="20"/>
          <w:szCs w:val="20"/>
          <w:u w:val="single"/>
          <w:shd w:val="clear" w:color="auto" w:fill="F8F9F9"/>
        </w:rPr>
      </w:pPr>
      <w:r w:rsidRPr="0069608C">
        <w:rPr>
          <w:rFonts w:ascii="Avenir Book" w:hAnsi="Avenir Book" w:cs="Arial"/>
          <w:color w:val="4C4C4C"/>
          <w:sz w:val="20"/>
          <w:szCs w:val="20"/>
        </w:rPr>
        <w:br/>
      </w:r>
      <w:r w:rsidRPr="0069608C">
        <w:rPr>
          <w:rStyle w:val="Strong"/>
          <w:rFonts w:ascii="Avenir Book" w:hAnsi="Avenir Book" w:cs="Arial"/>
          <w:color w:val="4C4C4C"/>
          <w:sz w:val="20"/>
          <w:szCs w:val="20"/>
          <w:u w:val="single"/>
          <w:shd w:val="clear" w:color="auto" w:fill="F8F9F9"/>
        </w:rPr>
        <w:t>Principle 14:  Public Defense Lawyers and Public Defense Professionals are Essential Participants in Achieving Justice Reforms</w:t>
      </w:r>
    </w:p>
    <w:p w14:paraId="1ACACBB2" w14:textId="77777777" w:rsidR="004F1885" w:rsidRPr="0069608C" w:rsidRDefault="00141608" w:rsidP="0069608C">
      <w:pPr>
        <w:jc w:val="both"/>
        <w:rPr>
          <w:rFonts w:ascii="Avenir Book" w:hAnsi="Avenir Book" w:cs="Arial"/>
          <w:color w:val="4C4C4C"/>
          <w:sz w:val="20"/>
          <w:szCs w:val="20"/>
          <w:shd w:val="clear" w:color="auto" w:fill="F8F9F9"/>
        </w:rPr>
      </w:pPr>
      <w:r w:rsidRPr="0069608C">
        <w:rPr>
          <w:rFonts w:ascii="Avenir Book" w:hAnsi="Avenir Book" w:cs="Arial"/>
          <w:color w:val="4C4C4C"/>
          <w:sz w:val="20"/>
          <w:szCs w:val="20"/>
        </w:rPr>
        <w:br/>
      </w:r>
      <w:r w:rsidRPr="0069608C">
        <w:rPr>
          <w:rFonts w:ascii="Avenir Book" w:hAnsi="Avenir Book" w:cs="Arial"/>
          <w:color w:val="4C4C4C"/>
          <w:sz w:val="20"/>
          <w:szCs w:val="20"/>
          <w:shd w:val="clear" w:color="auto" w:fill="F8F9F9"/>
        </w:rPr>
        <w:t>Public defense lawyers and other defense professionals are experts in providing defense services.  As advocates for criminal defendants, public defense lawyers and defense professionals spend significant time in court, in detention centers and jails, and in the client community.  They have the most credible information about the needs, opportunities and challenges facing defendants and juveniles and must be treated as equal and respected partners together with all justice agencies and programs.  Their observations and recommendations must be included in any effort to improve criminal and juvenile justice systems.  Reform initiatives that do not include the perspective of public defense lawyers and other defense professionals necessarily compromises efforts to achieve meaningful and enduring justice reforms.</w:t>
      </w:r>
    </w:p>
    <w:p w14:paraId="1BF99CE0" w14:textId="70F53C5C" w:rsidR="004F1885" w:rsidRPr="0069608C" w:rsidRDefault="00141608" w:rsidP="0069608C">
      <w:pPr>
        <w:jc w:val="both"/>
        <w:rPr>
          <w:rStyle w:val="Strong"/>
          <w:rFonts w:ascii="Avenir Book" w:hAnsi="Avenir Book" w:cs="Arial"/>
          <w:b w:val="0"/>
          <w:bCs w:val="0"/>
          <w:color w:val="4C4C4C"/>
          <w:sz w:val="20"/>
          <w:szCs w:val="20"/>
          <w:shd w:val="clear" w:color="auto" w:fill="F8F9F9"/>
        </w:rPr>
      </w:pPr>
      <w:r w:rsidRPr="0069608C">
        <w:rPr>
          <w:rFonts w:ascii="Avenir Book" w:hAnsi="Avenir Book" w:cs="Arial"/>
          <w:color w:val="4C4C4C"/>
          <w:sz w:val="20"/>
          <w:szCs w:val="20"/>
        </w:rPr>
        <w:br/>
      </w:r>
      <w:r w:rsidRPr="0069608C">
        <w:rPr>
          <w:rStyle w:val="Strong"/>
          <w:rFonts w:ascii="Avenir Book" w:hAnsi="Avenir Book" w:cs="Arial"/>
          <w:color w:val="4C4C4C"/>
          <w:sz w:val="20"/>
          <w:szCs w:val="20"/>
          <w:u w:val="single"/>
          <w:shd w:val="clear" w:color="auto" w:fill="F8F9F9"/>
        </w:rPr>
        <w:t>Principle 15:  Unity and Collaboration of Public Defenders and Public Defense Professionals Are Essential in Achieving Defense Reforms</w:t>
      </w:r>
    </w:p>
    <w:p w14:paraId="6889A383" w14:textId="4370AD60" w:rsidR="00071370" w:rsidRPr="0069608C" w:rsidRDefault="00141608" w:rsidP="0069608C">
      <w:pPr>
        <w:jc w:val="both"/>
        <w:rPr>
          <w:rFonts w:ascii="Avenir Book" w:hAnsi="Avenir Book" w:cs="Arial"/>
          <w:color w:val="4C4C4C"/>
          <w:sz w:val="20"/>
          <w:szCs w:val="20"/>
          <w:shd w:val="clear" w:color="auto" w:fill="F8F9F9"/>
        </w:rPr>
        <w:sectPr w:rsidR="00071370" w:rsidRPr="0069608C">
          <w:headerReference w:type="default" r:id="rId24"/>
          <w:endnotePr>
            <w:numFmt w:val="decimal"/>
          </w:endnotePr>
          <w:pgSz w:w="12240" w:h="15840"/>
          <w:pgMar w:top="1440" w:right="1440" w:bottom="1440" w:left="1440" w:header="720" w:footer="720" w:gutter="0"/>
          <w:cols w:space="720"/>
        </w:sectPr>
      </w:pPr>
      <w:r w:rsidRPr="0069608C">
        <w:rPr>
          <w:rFonts w:ascii="Avenir Book" w:hAnsi="Avenir Book" w:cs="Arial"/>
          <w:color w:val="4C4C4C"/>
          <w:sz w:val="20"/>
          <w:szCs w:val="20"/>
        </w:rPr>
        <w:br/>
        <w:t>The strong voice of public defense providers and defense professionals nationwide are essential in achieving transformational defense reforms.  To achieve necessary and long overdue reforms, public defense providers and defense professionals must be unified and organized.  Conversely, isolation among defense providers and professionals hampers national, statewide, and local reform efforts, thereby undermining the goal to achieve the constitutional protections of due process and equal access to justice in every U.S. jurisdiction.</w:t>
      </w:r>
    </w:p>
    <w:p w14:paraId="0352BD86" w14:textId="2D10A6DA" w:rsidR="003720F4" w:rsidRPr="00A23072" w:rsidRDefault="000E2E79" w:rsidP="00B87E7D">
      <w:pPr>
        <w:pStyle w:val="head6"/>
      </w:pPr>
      <w:r>
        <w:rPr>
          <w:noProof/>
          <w:sz w:val="10"/>
          <w:szCs w:val="10"/>
        </w:rPr>
        <w:lastRenderedPageBreak/>
        <w:pict w14:anchorId="0000C478">
          <v:rect id="_x0000_i1026" alt="" style="width:468pt;height:.05pt;mso-width-percent:0;mso-height-percent:0;mso-width-percent:0;mso-height-percent:0" o:hralign="center" o:hrstd="t" o:hr="t" fillcolor="#a0a0a0" stroked="f"/>
        </w:pict>
      </w:r>
      <w:r w:rsidR="00D2451D" w:rsidRPr="0069608C">
        <w:rPr>
          <w:rFonts w:ascii="Avenir Black Oblique" w:hAnsi="Avenir Black Oblique"/>
          <w:i/>
          <w:iCs/>
          <w:sz w:val="32"/>
          <w:szCs w:val="32"/>
        </w:rPr>
        <w:t>NOTES</w:t>
      </w:r>
      <w:r w:rsidR="00B87E7D" w:rsidRPr="0069608C">
        <w:rPr>
          <w:noProof/>
          <w:sz w:val="13"/>
          <w:szCs w:val="13"/>
        </w:rPr>
        <w:t xml:space="preserve"> </w:t>
      </w:r>
      <w:r>
        <w:rPr>
          <w:noProof/>
          <w:sz w:val="10"/>
          <w:szCs w:val="10"/>
        </w:rPr>
        <w:pict w14:anchorId="32090A8C">
          <v:rect id="_x0000_i1025" alt="" style="width:468pt;height:.05pt;mso-width-percent:0;mso-height-percent:0;mso-width-percent:0;mso-height-percent:0" o:hralign="center" o:hrstd="t" o:hr="t" fillcolor="#a0a0a0" stroked="f"/>
        </w:pict>
      </w:r>
    </w:p>
    <w:sectPr w:rsidR="003720F4" w:rsidRPr="00A23072" w:rsidSect="00230F07">
      <w:footerReference w:type="default" r:id="rId25"/>
      <w:endnotePr>
        <w:numFmt w:val="decimal"/>
      </w:endnotePr>
      <w:pgSz w:w="12240" w:h="15840"/>
      <w:pgMar w:top="1440" w:right="1440" w:bottom="1440" w:left="1440" w:header="720" w:footer="720" w:gutter="0"/>
      <w:pgNumType w:fmt="lowerRoman"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DA8C90" w14:textId="77777777" w:rsidR="000E2E79" w:rsidRDefault="000E2E79"/>
  </w:endnote>
  <w:endnote w:type="continuationSeparator" w:id="0">
    <w:p w14:paraId="5A6BEE6D" w14:textId="77777777" w:rsidR="000E2E79" w:rsidRDefault="000E2E79"/>
  </w:endnote>
  <w:endnote w:type="continuationNotice" w:id="1">
    <w:p w14:paraId="0D0AFE7D" w14:textId="77777777" w:rsidR="000E2E79" w:rsidRDefault="000E2E79"/>
  </w:endnote>
  <w:endnote w:id="2">
    <w:p w14:paraId="42588EC2" w14:textId="77777777" w:rsidR="00D267E7" w:rsidRPr="00921EC5" w:rsidRDefault="00D267E7" w:rsidP="00921EC5">
      <w:pPr>
        <w:pStyle w:val="EndnoteText"/>
        <w:jc w:val="both"/>
        <w:rPr>
          <w:rFonts w:ascii="Avenir Book" w:hAnsi="Avenir Book"/>
          <w:color w:val="000000" w:themeColor="text1"/>
          <w:sz w:val="18"/>
          <w:szCs w:val="18"/>
        </w:rPr>
      </w:pPr>
      <w:r w:rsidRPr="0069608C">
        <w:rPr>
          <w:rStyle w:val="EndnoteReference"/>
          <w:rFonts w:ascii="Avenir Book" w:hAnsi="Avenir Book"/>
          <w:sz w:val="20"/>
          <w:szCs w:val="20"/>
        </w:rPr>
        <w:endnoteRef/>
      </w:r>
      <w:r w:rsidRPr="0069608C">
        <w:rPr>
          <w:rFonts w:ascii="Avenir Book" w:hAnsi="Avenir Book"/>
          <w:sz w:val="20"/>
          <w:szCs w:val="20"/>
        </w:rPr>
        <w:t xml:space="preserve"> </w:t>
      </w:r>
      <w:r w:rsidRPr="00921EC5">
        <w:rPr>
          <w:rFonts w:ascii="Avenir Book" w:hAnsi="Avenir Book"/>
          <w:color w:val="000000" w:themeColor="text1"/>
          <w:sz w:val="18"/>
          <w:szCs w:val="18"/>
        </w:rPr>
        <w:t xml:space="preserve">U.S. Const. amend. VI. </w:t>
      </w:r>
    </w:p>
  </w:endnote>
  <w:endnote w:id="3">
    <w:p w14:paraId="5A6985B0"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Cs/>
          <w:color w:val="000000" w:themeColor="text1"/>
          <w:sz w:val="18"/>
          <w:szCs w:val="18"/>
          <w:u w:val="single"/>
        </w:rPr>
        <w:t>Gideon v. Wainwright</w:t>
      </w:r>
      <w:r w:rsidRPr="00921EC5">
        <w:rPr>
          <w:rFonts w:ascii="Avenir Book" w:hAnsi="Avenir Book"/>
          <w:color w:val="000000" w:themeColor="text1"/>
          <w:sz w:val="18"/>
          <w:szCs w:val="18"/>
        </w:rPr>
        <w:t>, 372 U.S. 335 (1963).</w:t>
      </w:r>
    </w:p>
  </w:endnote>
  <w:endnote w:id="4">
    <w:p w14:paraId="1D3A8948" w14:textId="32C4AF54"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i/>
          <w:iCs/>
          <w:color w:val="000000" w:themeColor="text1"/>
          <w:sz w:val="18"/>
          <w:szCs w:val="18"/>
        </w:rPr>
        <w:t>See</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Const. Anotated, Amdt</w:t>
      </w:r>
      <w:r w:rsidRPr="00921EC5">
        <w:rPr>
          <w:rFonts w:ascii="Avenir Book" w:hAnsi="Avenir Book"/>
          <w:color w:val="000000" w:themeColor="text1"/>
          <w:sz w:val="18"/>
          <w:szCs w:val="18"/>
        </w:rPr>
        <w:t xml:space="preserve"> 6.7.2.3, </w:t>
      </w:r>
      <w:r w:rsidRPr="00921EC5">
        <w:rPr>
          <w:rFonts w:ascii="Avenir Book" w:hAnsi="Avenir Book"/>
          <w:i/>
          <w:smallCaps/>
          <w:color w:val="000000" w:themeColor="text1"/>
          <w:sz w:val="18"/>
          <w:szCs w:val="18"/>
        </w:rPr>
        <w:t>When the Right to Counsel Applies</w:t>
      </w:r>
      <w:r w:rsidRPr="00921EC5">
        <w:rPr>
          <w:rFonts w:ascii="Avenir Book" w:hAnsi="Avenir Book"/>
          <w:color w:val="000000" w:themeColor="text1"/>
          <w:sz w:val="18"/>
          <w:szCs w:val="18"/>
        </w:rPr>
        <w:t xml:space="preserve">, </w:t>
      </w:r>
      <w:hyperlink r:id="rId1">
        <w:r w:rsidRPr="00921EC5">
          <w:rPr>
            <w:rFonts w:ascii="Avenir Book" w:hAnsi="Avenir Book"/>
            <w:color w:val="000000" w:themeColor="text1"/>
            <w:sz w:val="18"/>
            <w:szCs w:val="18"/>
            <w:u w:val="single"/>
          </w:rPr>
          <w:t>https://constitution.congress.gov/browse/essay/amdt6_7_2_3/</w:t>
        </w:r>
      </w:hyperlink>
      <w:r w:rsidRPr="00921EC5">
        <w:rPr>
          <w:rFonts w:ascii="Avenir Book" w:hAnsi="Avenir Book"/>
          <w:color w:val="000000" w:themeColor="text1"/>
          <w:sz w:val="18"/>
          <w:szCs w:val="18"/>
        </w:rPr>
        <w:t xml:space="preserve"> (last accessed Dec. 1, 2020).</w:t>
      </w:r>
    </w:p>
  </w:endnote>
  <w:endnote w:id="5">
    <w:p w14:paraId="69B1488D" w14:textId="5B4B1ABB"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iCs/>
          <w:color w:val="000000" w:themeColor="text1"/>
          <w:sz w:val="18"/>
          <w:szCs w:val="18"/>
        </w:rPr>
        <w:t>Id</w:t>
      </w:r>
      <w:r w:rsidRPr="00921EC5">
        <w:rPr>
          <w:rFonts w:ascii="Avenir Book" w:hAnsi="Avenir Book"/>
          <w:color w:val="000000" w:themeColor="text1"/>
          <w:sz w:val="18"/>
          <w:szCs w:val="18"/>
        </w:rPr>
        <w:t xml:space="preserve">. The right to counsel under the Sixth Amendment attaches in state proceedings because of Supreme Court decisions that applied due process analysis under the Fourteenth Amendment to state proceedings. </w:t>
      </w:r>
      <w:r w:rsidRPr="00921EC5">
        <w:rPr>
          <w:rFonts w:ascii="Avenir Book" w:hAnsi="Avenir Book"/>
          <w:i/>
          <w:color w:val="000000" w:themeColor="text1"/>
          <w:sz w:val="18"/>
          <w:szCs w:val="18"/>
        </w:rPr>
        <w:t>See</w:t>
      </w:r>
      <w:r w:rsidRPr="00921EC5">
        <w:rPr>
          <w:rFonts w:ascii="Avenir Book" w:hAnsi="Avenir Book"/>
          <w:color w:val="000000" w:themeColor="text1"/>
          <w:sz w:val="18"/>
          <w:szCs w:val="18"/>
        </w:rPr>
        <w:t xml:space="preserve">, CONST. ANNOTATED, Amdt 6.7.2.3, </w:t>
      </w:r>
      <w:r w:rsidRPr="00921EC5">
        <w:rPr>
          <w:rFonts w:ascii="Avenir Book" w:hAnsi="Avenir Book"/>
          <w:i/>
          <w:color w:val="000000" w:themeColor="text1"/>
          <w:sz w:val="18"/>
          <w:szCs w:val="18"/>
        </w:rPr>
        <w:t>When the Right to Counsel Applies</w:t>
      </w:r>
      <w:r w:rsidRPr="00921EC5">
        <w:rPr>
          <w:rFonts w:ascii="Avenir Book" w:hAnsi="Avenir Book"/>
          <w:color w:val="000000" w:themeColor="text1"/>
          <w:sz w:val="18"/>
          <w:szCs w:val="18"/>
        </w:rPr>
        <w:t xml:space="preserve">, </w:t>
      </w:r>
      <w:hyperlink r:id="rId2">
        <w:r w:rsidRPr="00921EC5">
          <w:rPr>
            <w:rFonts w:ascii="Avenir Book" w:hAnsi="Avenir Book"/>
            <w:color w:val="000000" w:themeColor="text1"/>
            <w:sz w:val="18"/>
            <w:szCs w:val="18"/>
            <w:u w:val="single"/>
          </w:rPr>
          <w:t>https://constitution.congress.gov/browse/essay/amdt6_7_2_3/</w:t>
        </w:r>
      </w:hyperlink>
      <w:r w:rsidRPr="00921EC5">
        <w:rPr>
          <w:rFonts w:ascii="Avenir Book" w:hAnsi="Avenir Book"/>
          <w:color w:val="000000" w:themeColor="text1"/>
          <w:sz w:val="18"/>
          <w:szCs w:val="18"/>
        </w:rPr>
        <w:t xml:space="preserve"> (last accessed Dec. 1, 2020).</w:t>
      </w:r>
    </w:p>
  </w:endnote>
  <w:endnote w:id="6">
    <w:p w14:paraId="5139284E"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color w:val="000000" w:themeColor="text1"/>
          <w:sz w:val="18"/>
          <w:szCs w:val="18"/>
          <w:u w:val="single"/>
        </w:rPr>
        <w:t>Argersinger v. Hamlin</w:t>
      </w:r>
      <w:r w:rsidRPr="00921EC5">
        <w:rPr>
          <w:rFonts w:ascii="Avenir Book" w:hAnsi="Avenir Book"/>
          <w:color w:val="000000" w:themeColor="text1"/>
          <w:sz w:val="18"/>
          <w:szCs w:val="18"/>
        </w:rPr>
        <w:t xml:space="preserve">, 407 U.S. 25 (1972). </w:t>
      </w:r>
    </w:p>
  </w:endnote>
  <w:endnote w:id="7">
    <w:p w14:paraId="18CC256F"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Even preliminary hearings where no prosecutor is present can trigger the right to counsel under the Sixth Amendment. (</w:t>
      </w:r>
      <w:r w:rsidRPr="00921EC5">
        <w:rPr>
          <w:rFonts w:ascii="Avenir Book" w:hAnsi="Avenir Book"/>
          <w:i/>
          <w:color w:val="000000" w:themeColor="text1"/>
          <w:sz w:val="18"/>
          <w:szCs w:val="18"/>
        </w:rPr>
        <w:t>See</w:t>
      </w:r>
      <w:r w:rsidRPr="00921EC5">
        <w:rPr>
          <w:rFonts w:ascii="Avenir Book" w:hAnsi="Avenir Book"/>
          <w:color w:val="000000" w:themeColor="text1"/>
          <w:sz w:val="18"/>
          <w:szCs w:val="18"/>
        </w:rPr>
        <w:t xml:space="preserve">, </w:t>
      </w:r>
      <w:r w:rsidRPr="00921EC5">
        <w:rPr>
          <w:rFonts w:ascii="Avenir Book" w:hAnsi="Avenir Book"/>
          <w:iCs/>
          <w:color w:val="000000" w:themeColor="text1"/>
          <w:sz w:val="18"/>
          <w:szCs w:val="18"/>
          <w:u w:val="single"/>
        </w:rPr>
        <w:t>Rothgery v. Gillespie County</w:t>
      </w:r>
      <w:r w:rsidRPr="00921EC5">
        <w:rPr>
          <w:rFonts w:ascii="Avenir Book" w:hAnsi="Avenir Book"/>
          <w:color w:val="000000" w:themeColor="text1"/>
          <w:sz w:val="18"/>
          <w:szCs w:val="18"/>
        </w:rPr>
        <w:t xml:space="preserve">, 128 S. Ct. 2578 (2008) (right to appointed counsel attaches even if no public prosecutor is aware of that initial proceeding or involved in its conduct)). </w:t>
      </w:r>
    </w:p>
  </w:endnote>
  <w:endnote w:id="8">
    <w:p w14:paraId="6AC4D8C8" w14:textId="2B7EBB25"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color w:val="000000" w:themeColor="text1"/>
          <w:sz w:val="18"/>
          <w:szCs w:val="18"/>
          <w:u w:val="single"/>
        </w:rPr>
        <w:t>Gideon</w:t>
      </w:r>
      <w:r w:rsidRPr="00921EC5">
        <w:rPr>
          <w:rFonts w:ascii="Avenir Book" w:hAnsi="Avenir Book"/>
          <w:color w:val="000000" w:themeColor="text1"/>
          <w:sz w:val="18"/>
          <w:szCs w:val="18"/>
        </w:rPr>
        <w:t>, 372 U.S. at 344.</w:t>
      </w:r>
    </w:p>
  </w:endnote>
  <w:endnote w:id="9">
    <w:p w14:paraId="1CBD591C"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color w:val="000000" w:themeColor="text1"/>
          <w:sz w:val="18"/>
          <w:szCs w:val="18"/>
          <w:u w:val="single"/>
        </w:rPr>
        <w:t>Brewer v. Williams</w:t>
      </w:r>
      <w:r w:rsidRPr="00921EC5">
        <w:rPr>
          <w:rFonts w:ascii="Avenir Book" w:hAnsi="Avenir Book"/>
          <w:color w:val="000000" w:themeColor="text1"/>
          <w:sz w:val="18"/>
          <w:szCs w:val="18"/>
        </w:rPr>
        <w:t>, 430 U.S. 387, 398 (1977) (</w:t>
      </w:r>
      <w:r w:rsidRPr="00921EC5">
        <w:rPr>
          <w:rFonts w:ascii="Avenir Book" w:hAnsi="Avenir Book"/>
          <w:color w:val="000000" w:themeColor="text1"/>
          <w:sz w:val="18"/>
          <w:szCs w:val="18"/>
          <w:u w:val="single"/>
        </w:rPr>
        <w:t>quoting Kirby v. Illinois</w:t>
      </w:r>
      <w:r w:rsidRPr="00921EC5">
        <w:rPr>
          <w:rFonts w:ascii="Avenir Book" w:hAnsi="Avenir Book"/>
          <w:color w:val="000000" w:themeColor="text1"/>
          <w:sz w:val="18"/>
          <w:szCs w:val="18"/>
        </w:rPr>
        <w:t xml:space="preserve">, 406 U.S. 682, 689 (1972)). </w:t>
      </w:r>
    </w:p>
  </w:endnote>
  <w:endnote w:id="10">
    <w:p w14:paraId="271042BE"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color w:val="000000" w:themeColor="text1"/>
          <w:sz w:val="18"/>
          <w:szCs w:val="18"/>
          <w:u w:val="single"/>
        </w:rPr>
        <w:t>Powell v. State of Alabama</w:t>
      </w:r>
      <w:r w:rsidRPr="00921EC5">
        <w:rPr>
          <w:rFonts w:ascii="Avenir Book" w:hAnsi="Avenir Book"/>
          <w:color w:val="000000" w:themeColor="text1"/>
          <w:sz w:val="18"/>
          <w:szCs w:val="18"/>
        </w:rPr>
        <w:t xml:space="preserve">, 287 U.S. 45, 69 (1932). </w:t>
      </w:r>
    </w:p>
  </w:endnote>
  <w:endnote w:id="11">
    <w:p w14:paraId="35DD3603" w14:textId="77777777" w:rsidR="00D267E7" w:rsidRPr="00921EC5" w:rsidRDefault="00D267E7" w:rsidP="00921EC5">
      <w:pPr>
        <w:pStyle w:val="EndnoteText"/>
        <w:jc w:val="both"/>
        <w:rPr>
          <w:rFonts w:ascii="Avenir Book" w:hAnsi="Avenir Book"/>
          <w:color w:val="000000" w:themeColor="text1"/>
          <w:sz w:val="18"/>
          <w:szCs w:val="18"/>
          <w:lang w:val="es-US"/>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lang w:val="es-US"/>
        </w:rPr>
        <w:t xml:space="preserve"> </w:t>
      </w:r>
      <w:r w:rsidRPr="00921EC5">
        <w:rPr>
          <w:rFonts w:ascii="Avenir Book" w:hAnsi="Avenir Book"/>
          <w:color w:val="000000" w:themeColor="text1"/>
          <w:sz w:val="18"/>
          <w:szCs w:val="18"/>
          <w:u w:val="single"/>
          <w:lang w:val="es-US"/>
        </w:rPr>
        <w:t>Coleman v. Alabama</w:t>
      </w:r>
      <w:r w:rsidRPr="00921EC5">
        <w:rPr>
          <w:rFonts w:ascii="Avenir Book" w:hAnsi="Avenir Book"/>
          <w:color w:val="000000" w:themeColor="text1"/>
          <w:sz w:val="18"/>
          <w:szCs w:val="18"/>
          <w:lang w:val="es-US"/>
        </w:rPr>
        <w:t xml:space="preserve">, 399 U.S. 1, 7 (1970). </w:t>
      </w:r>
    </w:p>
  </w:endnote>
  <w:endnote w:id="12">
    <w:p w14:paraId="026DD368"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color w:val="000000" w:themeColor="text1"/>
          <w:sz w:val="18"/>
          <w:szCs w:val="18"/>
          <w:u w:val="single"/>
        </w:rPr>
        <w:t>Evitts v. Lucey</w:t>
      </w:r>
      <w:r w:rsidRPr="00921EC5">
        <w:rPr>
          <w:rFonts w:ascii="Avenir Book" w:hAnsi="Avenir Book"/>
          <w:color w:val="000000" w:themeColor="text1"/>
          <w:sz w:val="18"/>
          <w:szCs w:val="18"/>
        </w:rPr>
        <w:t xml:space="preserve">, 469 U.S. 387 (1985) (holding there is a right to counsel on first appeal). </w:t>
      </w:r>
    </w:p>
  </w:endnote>
  <w:endnote w:id="13">
    <w:p w14:paraId="4A53E6BE" w14:textId="06CF6C4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smallCaps/>
          <w:color w:val="000000" w:themeColor="text1"/>
          <w:sz w:val="18"/>
          <w:szCs w:val="18"/>
        </w:rPr>
        <w:t>Advisory Comm. On Servs. To Indigent Criminal Defendants, A Constitutional Default: Services To Indigent Criminal Defendants In Pennsylvania</w:t>
      </w:r>
      <w:r w:rsidRPr="00921EC5">
        <w:rPr>
          <w:rFonts w:ascii="Avenir Book" w:hAnsi="Avenir Book"/>
          <w:color w:val="000000" w:themeColor="text1"/>
          <w:sz w:val="18"/>
          <w:szCs w:val="18"/>
        </w:rPr>
        <w:t xml:space="preserve"> 115 (2011) (concluding that Pennsylvania does not fulfill its obligations in providing adequate or independent indigent defense).</w:t>
      </w:r>
    </w:p>
  </w:endnote>
  <w:endnote w:id="14">
    <w:p w14:paraId="0FC7D614"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color w:val="000000" w:themeColor="text1"/>
          <w:sz w:val="18"/>
          <w:szCs w:val="18"/>
          <w:u w:val="single"/>
        </w:rPr>
        <w:t>Strickland v. Washington</w:t>
      </w:r>
      <w:r w:rsidRPr="00921EC5">
        <w:rPr>
          <w:rFonts w:ascii="Avenir Book" w:hAnsi="Avenir Book"/>
          <w:color w:val="000000" w:themeColor="text1"/>
          <w:sz w:val="18"/>
          <w:szCs w:val="18"/>
        </w:rPr>
        <w:t>, 466 U.S. 668 (1984).</w:t>
      </w:r>
    </w:p>
  </w:endnote>
  <w:endnote w:id="15">
    <w:p w14:paraId="006C7996"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color w:val="000000" w:themeColor="text1"/>
          <w:sz w:val="18"/>
          <w:szCs w:val="18"/>
          <w:u w:val="single"/>
        </w:rPr>
        <w:t>United States v. Cronic</w:t>
      </w:r>
      <w:r w:rsidRPr="00921EC5">
        <w:rPr>
          <w:rFonts w:ascii="Avenir Book" w:hAnsi="Avenir Book"/>
          <w:color w:val="000000" w:themeColor="text1"/>
          <w:sz w:val="18"/>
          <w:szCs w:val="18"/>
        </w:rPr>
        <w:t xml:space="preserve">, 466 U.S. 648 (1983); </w:t>
      </w:r>
      <w:r w:rsidRPr="00921EC5">
        <w:rPr>
          <w:rFonts w:ascii="Avenir Book" w:hAnsi="Avenir Book"/>
          <w:i/>
          <w:color w:val="000000" w:themeColor="text1"/>
          <w:sz w:val="18"/>
          <w:szCs w:val="18"/>
        </w:rPr>
        <w:t>see also</w:t>
      </w:r>
      <w:r w:rsidRPr="00921EC5">
        <w:rPr>
          <w:rFonts w:ascii="Avenir Book" w:hAnsi="Avenir Book"/>
          <w:color w:val="000000" w:themeColor="text1"/>
          <w:sz w:val="18"/>
          <w:szCs w:val="18"/>
        </w:rPr>
        <w:t xml:space="preserve"> </w:t>
      </w:r>
      <w:r w:rsidRPr="00921EC5">
        <w:rPr>
          <w:rFonts w:ascii="Avenir Book" w:hAnsi="Avenir Book"/>
          <w:color w:val="000000" w:themeColor="text1"/>
          <w:sz w:val="18"/>
          <w:szCs w:val="18"/>
          <w:u w:val="single"/>
        </w:rPr>
        <w:t>Kuren v. Luzerne Cty</w:t>
      </w:r>
      <w:r w:rsidRPr="00921EC5">
        <w:rPr>
          <w:rFonts w:ascii="Avenir Book" w:hAnsi="Avenir Book"/>
          <w:color w:val="000000" w:themeColor="text1"/>
          <w:sz w:val="18"/>
          <w:szCs w:val="18"/>
        </w:rPr>
        <w:t xml:space="preserve">., 146 A.3d 715 (Pa. 2016) (finding ineffective assistance of counsel due to systemic underfunding and high caseloads of public defender office). </w:t>
      </w:r>
    </w:p>
  </w:endnote>
  <w:endnote w:id="16">
    <w:p w14:paraId="5C812B6F" w14:textId="0CB05CAF"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See</w:t>
      </w:r>
      <w:r w:rsidRPr="00921EC5">
        <w:rPr>
          <w:rFonts w:ascii="Avenir Book" w:hAnsi="Avenir Book"/>
          <w:color w:val="000000" w:themeColor="text1"/>
          <w:sz w:val="18"/>
          <w:szCs w:val="18"/>
        </w:rPr>
        <w:t xml:space="preserve">, NAT’L ASS’N FOR PUB. DEFS., </w:t>
      </w:r>
      <w:r w:rsidRPr="00921EC5">
        <w:rPr>
          <w:rFonts w:ascii="Avenir Book" w:hAnsi="Avenir Book"/>
          <w:i/>
          <w:color w:val="000000" w:themeColor="text1"/>
          <w:sz w:val="18"/>
          <w:szCs w:val="18"/>
        </w:rPr>
        <w:t>NAPD Policy Statement on Independence</w:t>
      </w:r>
      <w:r w:rsidRPr="00921EC5">
        <w:rPr>
          <w:rFonts w:ascii="Avenir Book" w:hAnsi="Avenir Book"/>
          <w:color w:val="000000" w:themeColor="text1"/>
          <w:sz w:val="18"/>
          <w:szCs w:val="18"/>
        </w:rPr>
        <w:t xml:space="preserve">, (May 27, 2020), </w:t>
      </w:r>
      <w:hyperlink r:id="rId3" w:history="1">
        <w:r w:rsidRPr="00921EC5">
          <w:rPr>
            <w:rStyle w:val="Hyperlink"/>
            <w:rFonts w:ascii="Avenir Book" w:hAnsi="Avenir Book"/>
            <w:color w:val="000000" w:themeColor="text1"/>
            <w:sz w:val="18"/>
            <w:szCs w:val="18"/>
          </w:rPr>
          <w:t>https://www.publicdefenders.us/files/NAPD_Policy%20Statement%20on%20Independence.pdf</w:t>
        </w:r>
      </w:hyperlink>
      <w:r w:rsidRPr="00921EC5">
        <w:rPr>
          <w:rFonts w:ascii="Avenir Book" w:hAnsi="Avenir Book"/>
          <w:color w:val="000000" w:themeColor="text1"/>
          <w:sz w:val="18"/>
          <w:szCs w:val="18"/>
        </w:rPr>
        <w:t xml:space="preserve">; NAT’L ASS’N FOR PUB. DEFS., </w:t>
      </w:r>
      <w:r w:rsidRPr="00921EC5">
        <w:rPr>
          <w:rFonts w:ascii="Avenir Book" w:hAnsi="Avenir Book"/>
          <w:i/>
          <w:color w:val="000000" w:themeColor="text1"/>
          <w:sz w:val="18"/>
          <w:szCs w:val="18"/>
        </w:rPr>
        <w:t>Our Urgent Call to Action</w:t>
      </w:r>
      <w:r w:rsidRPr="00921EC5">
        <w:rPr>
          <w:rFonts w:ascii="Avenir Book" w:hAnsi="Avenir Book"/>
          <w:color w:val="000000" w:themeColor="text1"/>
          <w:sz w:val="18"/>
          <w:szCs w:val="18"/>
        </w:rPr>
        <w:t xml:space="preserve">, (May 27, 2020), </w:t>
      </w:r>
      <w:hyperlink r:id="rId4" w:history="1">
        <w:r w:rsidRPr="00921EC5">
          <w:rPr>
            <w:rStyle w:val="Hyperlink"/>
            <w:rFonts w:ascii="Avenir Book" w:hAnsi="Avenir Book"/>
            <w:color w:val="000000" w:themeColor="text1"/>
            <w:sz w:val="18"/>
            <w:szCs w:val="18"/>
          </w:rPr>
          <w:t>https://www.publicdefenders.us/files/NAPD_Call%20to%20Action%20re%20Policy%20Statement%20on%20Independence.pdf</w:t>
        </w:r>
      </w:hyperlink>
      <w:r w:rsidRPr="00921EC5">
        <w:rPr>
          <w:rFonts w:ascii="Avenir Book" w:hAnsi="Avenir Book"/>
          <w:color w:val="000000" w:themeColor="text1"/>
          <w:sz w:val="18"/>
          <w:szCs w:val="18"/>
        </w:rPr>
        <w:t xml:space="preserve"> ..</w:t>
      </w:r>
    </w:p>
  </w:endnote>
  <w:endnote w:id="17">
    <w:p w14:paraId="626C2727" w14:textId="12DC0CDC" w:rsidR="00D267E7" w:rsidRPr="00921EC5" w:rsidRDefault="00D267E7" w:rsidP="00921EC5">
      <w:pPr>
        <w:pStyle w:val="EndnoteText"/>
        <w:jc w:val="both"/>
        <w:rPr>
          <w:rFonts w:ascii="Avenir Book" w:hAnsi="Avenir Book"/>
          <w:iCs/>
          <w:smallCaps/>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AMERICAN BAR ASS’N, </w:t>
      </w:r>
      <w:r w:rsidRPr="00921EC5">
        <w:rPr>
          <w:rFonts w:ascii="Avenir Book" w:hAnsi="Avenir Book"/>
          <w:iCs/>
          <w:smallCaps/>
          <w:color w:val="000000" w:themeColor="text1"/>
          <w:sz w:val="18"/>
          <w:szCs w:val="18"/>
        </w:rPr>
        <w:t>Model Rules of Professional Conduct—About the Model Rules</w:t>
      </w:r>
      <w:r w:rsidRPr="00921EC5">
        <w:rPr>
          <w:rFonts w:ascii="Avenir Book" w:hAnsi="Avenir Book"/>
          <w:color w:val="000000" w:themeColor="text1"/>
          <w:sz w:val="18"/>
          <w:szCs w:val="18"/>
        </w:rPr>
        <w:t xml:space="preserve">,  </w:t>
      </w:r>
      <w:hyperlink r:id="rId5">
        <w:r w:rsidRPr="00921EC5">
          <w:rPr>
            <w:rFonts w:ascii="Avenir Book" w:hAnsi="Avenir Book"/>
            <w:color w:val="000000" w:themeColor="text1"/>
            <w:sz w:val="18"/>
            <w:szCs w:val="18"/>
            <w:u w:val="single"/>
          </w:rPr>
          <w:t>https://www.americanbar.org/groups/professional_responsibility/publications/model_rules_of_professional_conduct/</w:t>
        </w:r>
      </w:hyperlink>
      <w:r w:rsidRPr="00921EC5">
        <w:rPr>
          <w:rFonts w:ascii="Avenir Book" w:hAnsi="Avenir Book"/>
          <w:color w:val="000000" w:themeColor="text1"/>
          <w:sz w:val="18"/>
          <w:szCs w:val="18"/>
        </w:rPr>
        <w:t xml:space="preserve"> (last accessed Dec. 4, 2020). Pennsylvania’s Rules of Professional Conduct (“PaRPC”), which govern the state’s ethical rules, were derived from the MRPC. the MRPC and the PaRPC rules pertinent to the issues facing Montgomery County public defenders use nearly identical language.</w:t>
      </w:r>
    </w:p>
  </w:endnote>
  <w:endnote w:id="18">
    <w:p w14:paraId="6A26E2B3"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See</w:t>
      </w:r>
      <w:r w:rsidRPr="00921EC5">
        <w:rPr>
          <w:rFonts w:ascii="Avenir Book" w:hAnsi="Avenir Book"/>
          <w:color w:val="000000" w:themeColor="text1"/>
          <w:sz w:val="18"/>
          <w:szCs w:val="18"/>
        </w:rPr>
        <w:t>, e.g., Pa.R.P.C. 1.1 (2020) &amp; Model Rules of Prof'l Conduct R. 1.1. (2019): (“A lawyer shall provide competent representation to a client[, which] includes the legal knowledge, skill, thoroughness and preparation reasonably necessary for the representation.”); Pa. R.P.C.1.3 (2020) &amp; Model Rules of Prof'l Conduct R. 1.3 (2019) (“A lawyer shall act with reasonable diligence and promptness in representing a client.”).</w:t>
      </w:r>
    </w:p>
  </w:endnote>
  <w:endnote w:id="19">
    <w:p w14:paraId="70D3DD91"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See also</w:t>
      </w:r>
      <w:r w:rsidRPr="00921EC5">
        <w:rPr>
          <w:rFonts w:ascii="Avenir Book" w:hAnsi="Avenir Book"/>
          <w:color w:val="000000" w:themeColor="text1"/>
          <w:sz w:val="18"/>
          <w:szCs w:val="18"/>
        </w:rPr>
        <w:t>, Pa.R.P.C. 1.3 (2020).</w:t>
      </w:r>
    </w:p>
  </w:endnote>
  <w:endnote w:id="20">
    <w:p w14:paraId="0AE7FD23" w14:textId="3BF87BD6"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See also</w:t>
      </w:r>
      <w:r w:rsidRPr="00921EC5">
        <w:rPr>
          <w:rFonts w:ascii="Avenir Book" w:hAnsi="Avenir Book"/>
          <w:color w:val="000000" w:themeColor="text1"/>
          <w:sz w:val="18"/>
          <w:szCs w:val="18"/>
        </w:rPr>
        <w:t xml:space="preserve"> </w:t>
      </w:r>
      <w:r w:rsidRPr="00921EC5">
        <w:rPr>
          <w:rFonts w:ascii="Avenir Book" w:hAnsi="Avenir Book"/>
          <w:i/>
          <w:iCs/>
          <w:color w:val="000000" w:themeColor="text1"/>
          <w:sz w:val="18"/>
          <w:szCs w:val="18"/>
        </w:rPr>
        <w:t>id</w:t>
      </w:r>
      <w:r w:rsidRPr="00921EC5">
        <w:rPr>
          <w:rFonts w:ascii="Avenir Book" w:hAnsi="Avenir Book"/>
          <w:color w:val="000000" w:themeColor="text1"/>
          <w:sz w:val="18"/>
          <w:szCs w:val="18"/>
        </w:rPr>
        <w:t>. at 1.4.</w:t>
      </w:r>
    </w:p>
  </w:endnote>
  <w:endnote w:id="21">
    <w:p w14:paraId="00E6EC21" w14:textId="4DAE2FF4"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See also id.</w:t>
      </w:r>
      <w:r w:rsidRPr="00921EC5">
        <w:rPr>
          <w:rFonts w:ascii="Avenir Book" w:hAnsi="Avenir Book"/>
          <w:iCs/>
          <w:color w:val="000000" w:themeColor="text1"/>
          <w:sz w:val="18"/>
          <w:szCs w:val="18"/>
        </w:rPr>
        <w:t xml:space="preserve"> at</w:t>
      </w:r>
      <w:r w:rsidRPr="00921EC5">
        <w:rPr>
          <w:rFonts w:ascii="Avenir Book" w:hAnsi="Avenir Book"/>
          <w:color w:val="000000" w:themeColor="text1"/>
          <w:sz w:val="18"/>
          <w:szCs w:val="18"/>
        </w:rPr>
        <w:t xml:space="preserve"> 5.1.</w:t>
      </w:r>
    </w:p>
  </w:endnote>
  <w:endnote w:id="22">
    <w:p w14:paraId="35FD5B3F" w14:textId="1826EBE2"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Founded in 1878, the ABA is one of the largest voluntary professional membership organizations for attorneys in the country with over 356,000 members from every state.</w:t>
      </w:r>
      <w:r w:rsidRPr="00921EC5">
        <w:rPr>
          <w:rFonts w:ascii="Avenir Book" w:hAnsi="Avenir Book"/>
          <w:color w:val="000000" w:themeColor="text1"/>
          <w:sz w:val="18"/>
          <w:szCs w:val="18"/>
          <w:vertAlign w:val="superscript"/>
        </w:rPr>
        <w:endnoteRef/>
      </w:r>
      <w:r w:rsidRPr="00921EC5">
        <w:rPr>
          <w:rFonts w:ascii="Avenir Book" w:hAnsi="Avenir Book"/>
          <w:color w:val="000000" w:themeColor="text1"/>
          <w:sz w:val="18"/>
          <w:szCs w:val="18"/>
        </w:rPr>
        <w:t xml:space="preserve"> The ABA has over 35 members groups,</w:t>
      </w:r>
      <w:r w:rsidRPr="00921EC5">
        <w:rPr>
          <w:rFonts w:ascii="Avenir Book" w:hAnsi="Avenir Book"/>
          <w:color w:val="000000" w:themeColor="text1"/>
          <w:sz w:val="18"/>
          <w:szCs w:val="18"/>
          <w:vertAlign w:val="superscript"/>
        </w:rPr>
        <w:endnoteRef/>
      </w:r>
      <w:r w:rsidRPr="00921EC5">
        <w:rPr>
          <w:rFonts w:ascii="Avenir Book" w:hAnsi="Avenir Book"/>
          <w:color w:val="000000" w:themeColor="text1"/>
          <w:sz w:val="18"/>
          <w:szCs w:val="18"/>
        </w:rPr>
        <w:t xml:space="preserve"> including the ABA Ethics Committee and the Criminal Justice Section, which has nearly 60 different sub-committees</w:t>
      </w:r>
      <w:r w:rsidRPr="00921EC5">
        <w:rPr>
          <w:rFonts w:ascii="Avenir Book" w:hAnsi="Avenir Book"/>
          <w:color w:val="000000" w:themeColor="text1"/>
          <w:sz w:val="18"/>
          <w:szCs w:val="18"/>
          <w:vertAlign w:val="superscript"/>
        </w:rPr>
        <w:endnoteRef/>
      </w:r>
      <w:r w:rsidRPr="00921EC5">
        <w:rPr>
          <w:rFonts w:ascii="Avenir Book" w:hAnsi="Avenir Book"/>
          <w:color w:val="000000" w:themeColor="text1"/>
          <w:sz w:val="18"/>
          <w:szCs w:val="18"/>
        </w:rPr>
        <w:t xml:space="preserve"> that each specialize in a particular area of criminal defense law. The ABA Ethics Committee is responsible for publishing formal ethics opinions on lawyer and judicial conduct, and will, upon request, assist courts in developing professional rules and interpreting ethical standards. </w:t>
      </w:r>
      <w:r w:rsidRPr="00921EC5">
        <w:rPr>
          <w:rFonts w:ascii="Avenir Book" w:hAnsi="Avenir Book"/>
          <w:smallCaps/>
          <w:color w:val="000000" w:themeColor="text1"/>
          <w:sz w:val="18"/>
          <w:szCs w:val="18"/>
        </w:rPr>
        <w:t>ABA Standing Comm. On Legal Aid And Indigent Defendants</w:t>
      </w:r>
      <w:r w:rsidRPr="00921EC5">
        <w:rPr>
          <w:rFonts w:ascii="Avenir Book" w:hAnsi="Avenir Book"/>
          <w:color w:val="000000" w:themeColor="text1"/>
          <w:sz w:val="18"/>
          <w:szCs w:val="18"/>
        </w:rPr>
        <w:t>,</w:t>
      </w:r>
      <w:r w:rsidRPr="00921EC5">
        <w:rPr>
          <w:rFonts w:ascii="Avenir Book" w:hAnsi="Avenir Book"/>
          <w:i/>
          <w:color w:val="000000" w:themeColor="text1"/>
          <w:sz w:val="18"/>
          <w:szCs w:val="18"/>
        </w:rPr>
        <w:t xml:space="preserve"> </w:t>
      </w:r>
      <w:r w:rsidRPr="00921EC5">
        <w:rPr>
          <w:rFonts w:ascii="Avenir Book" w:hAnsi="Avenir Book"/>
          <w:i/>
          <w:smallCaps/>
          <w:color w:val="000000" w:themeColor="text1"/>
          <w:sz w:val="18"/>
          <w:szCs w:val="18"/>
        </w:rPr>
        <w:t xml:space="preserve">ABA Ten Principles Of A Public Defense Delivery System - </w:t>
      </w:r>
      <w:r w:rsidRPr="00921EC5">
        <w:rPr>
          <w:rFonts w:ascii="Avenir Book" w:hAnsi="Avenir Book"/>
          <w:i/>
          <w:color w:val="000000" w:themeColor="text1"/>
          <w:sz w:val="18"/>
          <w:szCs w:val="18"/>
        </w:rPr>
        <w:t>Introduction</w:t>
      </w:r>
      <w:r w:rsidRPr="00921EC5">
        <w:rPr>
          <w:rFonts w:ascii="Avenir Book" w:hAnsi="Avenir Book"/>
          <w:color w:val="000000" w:themeColor="text1"/>
          <w:sz w:val="18"/>
          <w:szCs w:val="18"/>
        </w:rPr>
        <w:t xml:space="preserve">, (February 2002), </w:t>
      </w:r>
      <w:hyperlink r:id="rId6" w:history="1">
        <w:r w:rsidRPr="00921EC5">
          <w:rPr>
            <w:rStyle w:val="Hyperlink"/>
            <w:rFonts w:ascii="Avenir Book" w:hAnsi="Avenir Book"/>
            <w:color w:val="000000" w:themeColor="text1"/>
            <w:sz w:val="18"/>
            <w:szCs w:val="18"/>
          </w:rPr>
          <w:t>https://www.americanbar.org/content/dam/aba/administrative/legal_aid_indigent_defendants/ls_sclaid_def_tenprinciplesbooklet.pdf</w:t>
        </w:r>
      </w:hyperlink>
      <w:r w:rsidRPr="00921EC5">
        <w:rPr>
          <w:rFonts w:ascii="Avenir Book" w:hAnsi="Avenir Book"/>
          <w:color w:val="000000" w:themeColor="text1"/>
          <w:sz w:val="18"/>
          <w:szCs w:val="18"/>
        </w:rPr>
        <w:t>.</w:t>
      </w:r>
    </w:p>
  </w:endnote>
  <w:endnote w:id="23">
    <w:p w14:paraId="53A24EA3" w14:textId="7B54931A"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NAPD also has members who are non-attorney staff at public defender’s offices (e.g paralegals, social workers, investigators). </w:t>
      </w:r>
      <w:r w:rsidRPr="00921EC5">
        <w:rPr>
          <w:rFonts w:ascii="Avenir Book" w:hAnsi="Avenir Book"/>
          <w:i/>
          <w:color w:val="000000" w:themeColor="text1"/>
          <w:sz w:val="18"/>
          <w:szCs w:val="18"/>
        </w:rPr>
        <w:t>See</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Nat’l Ass’n For Pub. Defs., </w:t>
      </w:r>
      <w:r w:rsidRPr="00921EC5">
        <w:rPr>
          <w:rFonts w:ascii="Avenir Book" w:hAnsi="Avenir Book"/>
          <w:i/>
          <w:smallCaps/>
          <w:color w:val="000000" w:themeColor="text1"/>
          <w:sz w:val="18"/>
          <w:szCs w:val="18"/>
        </w:rPr>
        <w:t>Statement Of Purpose</w:t>
      </w:r>
      <w:r w:rsidRPr="00921EC5">
        <w:rPr>
          <w:rFonts w:ascii="Avenir Book" w:hAnsi="Avenir Book"/>
          <w:color w:val="000000" w:themeColor="text1"/>
          <w:sz w:val="18"/>
          <w:szCs w:val="18"/>
        </w:rPr>
        <w:t xml:space="preserve">, </w:t>
      </w:r>
      <w:hyperlink r:id="rId7">
        <w:r w:rsidRPr="00921EC5">
          <w:rPr>
            <w:rFonts w:ascii="Avenir Book" w:hAnsi="Avenir Book"/>
            <w:color w:val="000000" w:themeColor="text1"/>
            <w:sz w:val="18"/>
            <w:szCs w:val="18"/>
            <w:u w:val="single"/>
          </w:rPr>
          <w:t>https://www.publicdefenders.us/stateofpurpose</w:t>
        </w:r>
      </w:hyperlink>
      <w:r w:rsidRPr="00921EC5">
        <w:rPr>
          <w:rFonts w:ascii="Avenir Book" w:hAnsi="Avenir Book"/>
          <w:color w:val="000000" w:themeColor="text1"/>
          <w:sz w:val="18"/>
          <w:szCs w:val="18"/>
        </w:rPr>
        <w:t xml:space="preserve">  (last accessed Dec. 4, 2020).</w:t>
      </w:r>
    </w:p>
  </w:endnote>
  <w:endnote w:id="24">
    <w:p w14:paraId="14AFA4D9" w14:textId="62722DDD"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“NAPD members across all 50 states share their education materials, outreach plans, communications, technical assistance, amicus/litigation resources, policy positions, leadership skills, and research and analysis methods in order to leverage the tools for change for the people in the places that need them most.” NAT’L ASS’N FOR PUB. DEFS., </w:t>
      </w:r>
      <w:r w:rsidRPr="00921EC5">
        <w:rPr>
          <w:rFonts w:ascii="Avenir Book" w:hAnsi="Avenir Book"/>
          <w:i/>
          <w:color w:val="000000" w:themeColor="text1"/>
          <w:sz w:val="18"/>
          <w:szCs w:val="18"/>
        </w:rPr>
        <w:t>Statement of Purpose</w:t>
      </w:r>
      <w:r w:rsidRPr="00921EC5">
        <w:rPr>
          <w:rFonts w:ascii="Avenir Book" w:hAnsi="Avenir Book"/>
          <w:color w:val="000000" w:themeColor="text1"/>
          <w:sz w:val="18"/>
          <w:szCs w:val="18"/>
        </w:rPr>
        <w:t xml:space="preserve">, </w:t>
      </w:r>
      <w:hyperlink r:id="rId8">
        <w:r w:rsidRPr="00921EC5">
          <w:rPr>
            <w:rFonts w:ascii="Avenir Book" w:hAnsi="Avenir Book"/>
            <w:color w:val="000000" w:themeColor="text1"/>
            <w:sz w:val="18"/>
            <w:szCs w:val="18"/>
            <w:u w:val="single"/>
          </w:rPr>
          <w:t>https://www.publicdefenders.us/stateofpurpose</w:t>
        </w:r>
      </w:hyperlink>
      <w:r w:rsidRPr="00921EC5">
        <w:rPr>
          <w:rFonts w:ascii="Avenir Book" w:hAnsi="Avenir Book"/>
          <w:color w:val="000000" w:themeColor="text1"/>
          <w:sz w:val="18"/>
          <w:szCs w:val="18"/>
        </w:rPr>
        <w:t xml:space="preserve">  (last accessed Dec. 4, 2020).</w:t>
      </w:r>
    </w:p>
  </w:endnote>
  <w:endnote w:id="25">
    <w:p w14:paraId="3153E64F" w14:textId="2E728FEA"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NAPD, </w:t>
      </w:r>
      <w:r w:rsidRPr="00921EC5">
        <w:rPr>
          <w:rFonts w:ascii="Avenir Book" w:hAnsi="Avenir Book"/>
          <w:i/>
          <w:smallCaps/>
          <w:color w:val="000000" w:themeColor="text1"/>
          <w:sz w:val="18"/>
          <w:szCs w:val="18"/>
        </w:rPr>
        <w:t>National Association For Public Defense Foundational Principles</w:t>
      </w:r>
      <w:r w:rsidRPr="00921EC5">
        <w:rPr>
          <w:rFonts w:ascii="Avenir Book" w:hAnsi="Avenir Book"/>
          <w:i/>
          <w:color w:val="000000" w:themeColor="text1"/>
          <w:sz w:val="18"/>
          <w:szCs w:val="18"/>
        </w:rPr>
        <w:t xml:space="preserve"> - Introduction</w:t>
      </w:r>
      <w:r w:rsidRPr="00921EC5">
        <w:rPr>
          <w:rFonts w:ascii="Avenir Book" w:hAnsi="Avenir Book"/>
          <w:color w:val="000000" w:themeColor="text1"/>
          <w:sz w:val="18"/>
          <w:szCs w:val="18"/>
        </w:rPr>
        <w:t xml:space="preserve">, (March 2017), </w:t>
      </w:r>
      <w:hyperlink r:id="rId9" w:history="1">
        <w:r w:rsidRPr="00921EC5">
          <w:rPr>
            <w:rStyle w:val="Hyperlink"/>
            <w:rFonts w:ascii="Avenir Book" w:hAnsi="Avenir Book"/>
            <w:color w:val="000000" w:themeColor="text1"/>
            <w:sz w:val="18"/>
            <w:szCs w:val="18"/>
          </w:rPr>
          <w:t>https://www.publicdefenders.us/files/NAPD%20Foundational%20Principles_FINAL_March%2016%202017(1).pdf</w:t>
        </w:r>
      </w:hyperlink>
    </w:p>
  </w:endnote>
  <w:endnote w:id="26">
    <w:p w14:paraId="7AB7377E" w14:textId="7404E198"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iCs/>
          <w:color w:val="000000" w:themeColor="text1"/>
          <w:sz w:val="18"/>
          <w:szCs w:val="18"/>
        </w:rPr>
        <w:t xml:space="preserve">16 </w:t>
      </w:r>
      <w:r w:rsidRPr="00921EC5">
        <w:rPr>
          <w:rFonts w:ascii="Avenir Book" w:hAnsi="Avenir Book"/>
          <w:color w:val="000000" w:themeColor="text1"/>
          <w:sz w:val="18"/>
          <w:szCs w:val="18"/>
        </w:rPr>
        <w:t xml:space="preserve">Pa. Stat. and Cons. Stat. Ann. §§ 9960.1–9960.13 (West 2020). </w:t>
      </w:r>
    </w:p>
  </w:endnote>
  <w:endnote w:id="27">
    <w:p w14:paraId="75070021" w14:textId="53E36945"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i/>
          <w:iCs/>
          <w:color w:val="000000" w:themeColor="text1"/>
          <w:sz w:val="18"/>
          <w:szCs w:val="18"/>
        </w:rPr>
        <w:t>id</w:t>
      </w:r>
      <w:r w:rsidRPr="00921EC5">
        <w:rPr>
          <w:rFonts w:ascii="Avenir Book" w:hAnsi="Avenir Book"/>
          <w:color w:val="000000" w:themeColor="text1"/>
          <w:sz w:val="18"/>
          <w:szCs w:val="18"/>
        </w:rPr>
        <w:t xml:space="preserve">. at § 9960.3. Philadelphia County utilizes a nonprofit organization, the Defender Association of Philadelphia (DAP), which has been recognized as one of the best public defender offices in the nation. </w:t>
      </w:r>
      <w:r w:rsidRPr="00921EC5">
        <w:rPr>
          <w:rFonts w:ascii="Avenir Book" w:hAnsi="Avenir Book"/>
          <w:smallCaps/>
          <w:color w:val="000000" w:themeColor="text1"/>
          <w:sz w:val="18"/>
          <w:szCs w:val="18"/>
        </w:rPr>
        <w:t xml:space="preserve">Report To The Task Force And Advisory Committee On Services To Indigent Criminal Defendants, A Constitutional Default: Services To Indigent Criminal Defendants In Pennsylvania </w:t>
      </w:r>
      <w:r w:rsidRPr="00921EC5">
        <w:rPr>
          <w:rFonts w:ascii="Avenir Book" w:hAnsi="Avenir Book"/>
          <w:color w:val="000000" w:themeColor="text1"/>
          <w:sz w:val="18"/>
          <w:szCs w:val="18"/>
        </w:rPr>
        <w:t>62 (2011).</w:t>
      </w:r>
    </w:p>
  </w:endnote>
  <w:endnote w:id="28">
    <w:p w14:paraId="4E6839E2"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16</w:t>
      </w:r>
      <w:r w:rsidRPr="00921EC5">
        <w:rPr>
          <w:rFonts w:ascii="Avenir Book" w:hAnsi="Avenir Book"/>
          <w:smallCaps/>
          <w:color w:val="000000" w:themeColor="text1"/>
          <w:sz w:val="18"/>
          <w:szCs w:val="18"/>
        </w:rPr>
        <w:t xml:space="preserve"> Pa. Stat. and Cons. Stat. Ann.</w:t>
      </w:r>
      <w:r w:rsidRPr="00921EC5">
        <w:rPr>
          <w:rFonts w:ascii="Avenir Book" w:hAnsi="Avenir Book"/>
          <w:color w:val="000000" w:themeColor="text1"/>
          <w:sz w:val="18"/>
          <w:szCs w:val="18"/>
        </w:rPr>
        <w:t xml:space="preserve"> § 9960.4 (West 2020). </w:t>
      </w:r>
    </w:p>
  </w:endnote>
  <w:endnote w:id="29">
    <w:p w14:paraId="18F0FF2F" w14:textId="5A8CF1D2"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iCs/>
          <w:color w:val="000000" w:themeColor="text1"/>
          <w:sz w:val="18"/>
          <w:szCs w:val="18"/>
        </w:rPr>
        <w:t>Id</w:t>
      </w:r>
      <w:r w:rsidRPr="00921EC5">
        <w:rPr>
          <w:rFonts w:ascii="Avenir Book" w:hAnsi="Avenir Book"/>
          <w:color w:val="000000" w:themeColor="text1"/>
          <w:sz w:val="18"/>
          <w:szCs w:val="18"/>
        </w:rPr>
        <w:t>.</w:t>
      </w:r>
    </w:p>
  </w:endnote>
  <w:endnote w:id="30">
    <w:p w14:paraId="55FBA781" w14:textId="6FABC5D5"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Report of the Task Force and Advisory Committee on Services to Indigent Criminal Defendants,</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_Ref62726825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26</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xml:space="preserve">, at 6. </w:t>
      </w:r>
    </w:p>
  </w:endnote>
  <w:endnote w:id="31">
    <w:p w14:paraId="3255D13D" w14:textId="4E5D7E99"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iCs/>
          <w:color w:val="000000" w:themeColor="text1"/>
          <w:sz w:val="18"/>
          <w:szCs w:val="18"/>
        </w:rPr>
        <w:t>Id</w:t>
      </w:r>
      <w:r w:rsidRPr="00921EC5">
        <w:rPr>
          <w:rFonts w:ascii="Avenir Book" w:hAnsi="Avenir Book"/>
          <w:color w:val="000000" w:themeColor="text1"/>
          <w:sz w:val="18"/>
          <w:szCs w:val="18"/>
        </w:rPr>
        <w:t>.</w:t>
      </w:r>
    </w:p>
  </w:endnote>
  <w:endnote w:id="32">
    <w:p w14:paraId="4E9BB534" w14:textId="01D55025"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16 Pa. Stat. and Cons. Stat. Ann. § 9960.5(c) (West 2020).</w:t>
      </w:r>
    </w:p>
  </w:endnote>
  <w:endnote w:id="33">
    <w:p w14:paraId="468365F5" w14:textId="4CC4AFB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iCs/>
          <w:color w:val="000000" w:themeColor="text1"/>
          <w:sz w:val="18"/>
          <w:szCs w:val="18"/>
        </w:rPr>
        <w:t>Id</w:t>
      </w:r>
      <w:r w:rsidRPr="00921EC5">
        <w:rPr>
          <w:rFonts w:ascii="Avenir Book" w:hAnsi="Avenir Book"/>
          <w:color w:val="000000" w:themeColor="text1"/>
          <w:sz w:val="18"/>
          <w:szCs w:val="18"/>
        </w:rPr>
        <w:t>. at § 9960.5(a).</w:t>
      </w:r>
    </w:p>
  </w:endnote>
  <w:endnote w:id="34">
    <w:p w14:paraId="39EB33AF" w14:textId="1C14F25D" w:rsidR="00D267E7" w:rsidRPr="00921EC5" w:rsidRDefault="00D267E7" w:rsidP="00921EC5">
      <w:pPr>
        <w:pStyle w:val="EndnoteText"/>
        <w:jc w:val="both"/>
        <w:rPr>
          <w:rFonts w:ascii="Avenir Book" w:hAnsi="Avenir Book"/>
          <w:i/>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i/>
          <w:iCs/>
          <w:color w:val="000000" w:themeColor="text1"/>
          <w:sz w:val="18"/>
          <w:szCs w:val="18"/>
        </w:rPr>
        <w:t>id</w:t>
      </w:r>
      <w:r w:rsidRPr="00921EC5">
        <w:rPr>
          <w:rFonts w:ascii="Avenir Book" w:hAnsi="Avenir Book"/>
          <w:color w:val="000000" w:themeColor="text1"/>
          <w:sz w:val="18"/>
          <w:szCs w:val="18"/>
        </w:rPr>
        <w:t>. at § 9960.6.</w:t>
      </w:r>
    </w:p>
  </w:endnote>
  <w:endnote w:id="35">
    <w:p w14:paraId="1F2C9894"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Pa. R. Crim. P. 122(A)(1)</w:t>
      </w:r>
      <w:r w:rsidRPr="00921EC5">
        <w:rPr>
          <w:rFonts w:ascii="Avenir Book" w:hAnsi="Avenir Book"/>
          <w:color w:val="000000" w:themeColor="text1"/>
          <w:sz w:val="18"/>
          <w:szCs w:val="18"/>
        </w:rPr>
        <w:t xml:space="preserve">–(2) (West 2020). </w:t>
      </w:r>
    </w:p>
  </w:endnote>
  <w:endnote w:id="36">
    <w:p w14:paraId="746899EA"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Pa. R. Crim. P. 122(B)(2) (West 2020). The Rules note that, in an ideal state, defense counsel should be appointed to represent indigent defendants “immediately after they are brought before the issuing authority in all summary cases in which a jail sentence is possible, and immediately after preliminary arraignment in all court cases.” Pa. R. Crim. P. 122 cmt. (West 2020).</w:t>
      </w:r>
    </w:p>
  </w:endnote>
  <w:endnote w:id="37">
    <w:p w14:paraId="0F2A8596" w14:textId="0F1B4DD5"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16 Pa. Stat. and Cons. Stat. Ann. § 9960.9.</w:t>
      </w:r>
    </w:p>
  </w:endnote>
  <w:endnote w:id="38">
    <w:p w14:paraId="6D538A21" w14:textId="7156669A"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iCs/>
          <w:color w:val="000000" w:themeColor="text1"/>
          <w:sz w:val="18"/>
          <w:szCs w:val="18"/>
        </w:rPr>
        <w:t>Id</w:t>
      </w:r>
      <w:r w:rsidRPr="00921EC5">
        <w:rPr>
          <w:rFonts w:ascii="Avenir Book" w:hAnsi="Avenir Book"/>
          <w:color w:val="000000" w:themeColor="text1"/>
          <w:sz w:val="18"/>
          <w:szCs w:val="18"/>
        </w:rPr>
        <w:t xml:space="preserve">. at § </w:t>
      </w:r>
      <w:r w:rsidRPr="00921EC5">
        <w:rPr>
          <w:rFonts w:ascii="Avenir Book" w:hAnsi="Avenir Book"/>
          <w:color w:val="000000" w:themeColor="text1"/>
          <w:sz w:val="18"/>
          <w:szCs w:val="18"/>
        </w:rPr>
        <w:t>9960.10a .</w:t>
      </w:r>
    </w:p>
  </w:endnote>
  <w:endnote w:id="39">
    <w:p w14:paraId="70B09CD8" w14:textId="30A91061"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smallCaps/>
          <w:color w:val="000000" w:themeColor="text1"/>
          <w:sz w:val="18"/>
          <w:szCs w:val="18"/>
        </w:rPr>
        <w:t>Montgomery County., Pa., Employee Code of Ethics</w:t>
      </w:r>
      <w:r w:rsidRPr="00921EC5">
        <w:rPr>
          <w:rFonts w:ascii="Avenir Book" w:hAnsi="Avenir Book"/>
          <w:color w:val="000000" w:themeColor="text1"/>
          <w:sz w:val="18"/>
          <w:szCs w:val="18"/>
        </w:rPr>
        <w:t xml:space="preserve">, </w:t>
      </w:r>
      <w:hyperlink r:id="rId10" w:history="1">
        <w:r w:rsidRPr="00921EC5">
          <w:rPr>
            <w:rStyle w:val="Hyperlink"/>
            <w:rFonts w:ascii="Avenir Book" w:hAnsi="Avenir Book"/>
            <w:color w:val="000000" w:themeColor="text1"/>
            <w:sz w:val="18"/>
            <w:szCs w:val="18"/>
          </w:rPr>
          <w:t>https://www.montcopa.org/DocumentCenter/View/2381/Ethics_Draft_FINAL?bidId=</w:t>
        </w:r>
      </w:hyperlink>
      <w:r w:rsidRPr="00921EC5">
        <w:rPr>
          <w:rFonts w:ascii="Avenir Book" w:hAnsi="Avenir Book"/>
          <w:color w:val="000000" w:themeColor="text1"/>
          <w:sz w:val="18"/>
          <w:szCs w:val="18"/>
        </w:rPr>
        <w:t xml:space="preserve"> (last accessed 12/29/20). </w:t>
      </w:r>
    </w:p>
  </w:endnote>
  <w:endnote w:id="40">
    <w:p w14:paraId="427E0833" w14:textId="44FC6458"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Id. </w:t>
      </w:r>
      <w:r w:rsidRPr="00921EC5">
        <w:rPr>
          <w:rFonts w:ascii="Avenir Book" w:hAnsi="Avenir Book"/>
          <w:iCs/>
          <w:color w:val="000000" w:themeColor="text1"/>
          <w:sz w:val="18"/>
          <w:szCs w:val="18"/>
        </w:rPr>
        <w:t>at</w:t>
      </w:r>
      <w:r w:rsidRPr="00921EC5">
        <w:rPr>
          <w:rFonts w:ascii="Avenir Book" w:hAnsi="Avenir Book"/>
          <w:smallCaps/>
          <w:color w:val="000000" w:themeColor="text1"/>
          <w:sz w:val="18"/>
          <w:szCs w:val="18"/>
        </w:rPr>
        <w:t xml:space="preserve"> 7</w:t>
      </w:r>
      <w:r w:rsidRPr="00921EC5">
        <w:rPr>
          <w:rFonts w:ascii="Avenir Book" w:hAnsi="Avenir Book"/>
          <w:color w:val="000000" w:themeColor="text1"/>
          <w:sz w:val="18"/>
          <w:szCs w:val="18"/>
        </w:rPr>
        <w:t>–8.</w:t>
      </w:r>
    </w:p>
  </w:endnote>
  <w:endnote w:id="41">
    <w:p w14:paraId="780D5E92" w14:textId="3E9DDC2B"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color w:val="000000" w:themeColor="text1"/>
          <w:sz w:val="18"/>
          <w:szCs w:val="18"/>
        </w:rPr>
        <w:t xml:space="preserve">16 Pa. Stat. and Cons. Stat. Ann. § 210. </w:t>
      </w:r>
    </w:p>
  </w:endnote>
  <w:endnote w:id="42">
    <w:p w14:paraId="33F20345" w14:textId="34E095A4"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43">
    <w:p w14:paraId="66744E33" w14:textId="7AE2A2B8"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Cty. Commissioners Ass’n of Pa</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Counties by Class</w:t>
      </w:r>
      <w:r w:rsidRPr="00921EC5">
        <w:rPr>
          <w:rFonts w:ascii="Avenir Book" w:hAnsi="Avenir Book"/>
          <w:color w:val="000000" w:themeColor="text1"/>
          <w:sz w:val="18"/>
          <w:szCs w:val="18"/>
        </w:rPr>
        <w:t xml:space="preserve">, https://www.pacounties.org/PAsCounties/Pages/Counties-by-Class.aspx (last accessed Nov. 11, 2020). Class 1 is </w:t>
      </w:r>
      <w:r w:rsidRPr="00921EC5">
        <w:rPr>
          <w:rFonts w:ascii="Avenir Book" w:hAnsi="Avenir Book"/>
          <w:color w:val="000000" w:themeColor="text1"/>
          <w:sz w:val="18"/>
          <w:szCs w:val="18"/>
        </w:rPr>
        <w:t>designates for counties with populations of 1.5 million and higher.</w:t>
      </w:r>
    </w:p>
  </w:endnote>
  <w:endnote w:id="44">
    <w:p w14:paraId="16E8D618" w14:textId="1C823A99"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United States Census Bureau</w:t>
      </w:r>
      <w:r w:rsidRPr="00921EC5">
        <w:rPr>
          <w:rFonts w:ascii="Avenir Book" w:hAnsi="Avenir Book"/>
          <w:color w:val="000000" w:themeColor="text1"/>
          <w:sz w:val="18"/>
          <w:szCs w:val="18"/>
        </w:rPr>
        <w:t xml:space="preserve">, </w:t>
      </w:r>
      <w:r w:rsidRPr="00921EC5">
        <w:rPr>
          <w:rFonts w:ascii="Avenir Book" w:hAnsi="Avenir Book"/>
          <w:iCs/>
          <w:smallCaps/>
          <w:color w:val="000000" w:themeColor="text1"/>
          <w:sz w:val="18"/>
          <w:szCs w:val="18"/>
        </w:rPr>
        <w:t>QuickFacts: Montgomery County, Pennsylvania</w:t>
      </w:r>
      <w:r w:rsidRPr="00921EC5">
        <w:rPr>
          <w:rFonts w:ascii="Avenir Book" w:hAnsi="Avenir Book"/>
          <w:color w:val="000000" w:themeColor="text1"/>
          <w:sz w:val="18"/>
          <w:szCs w:val="18"/>
        </w:rPr>
        <w:t xml:space="preserve"> (July 1, 2019), </w:t>
      </w:r>
      <w:hyperlink r:id="rId11" w:history="1">
        <w:r w:rsidRPr="00921EC5">
          <w:rPr>
            <w:rStyle w:val="Hyperlink"/>
            <w:rFonts w:ascii="Avenir Book" w:hAnsi="Avenir Book"/>
            <w:color w:val="000000" w:themeColor="text1"/>
            <w:sz w:val="18"/>
            <w:szCs w:val="18"/>
          </w:rPr>
          <w:t>https://www.census.gov/quickfacts/montgomerycountypennsylvania</w:t>
        </w:r>
      </w:hyperlink>
      <w:r w:rsidRPr="00921EC5">
        <w:rPr>
          <w:rFonts w:ascii="Avenir Book" w:hAnsi="Avenir Book"/>
          <w:color w:val="000000" w:themeColor="text1"/>
          <w:sz w:val="18"/>
          <w:szCs w:val="18"/>
        </w:rPr>
        <w:t>.</w:t>
      </w:r>
    </w:p>
  </w:endnote>
  <w:endnote w:id="45">
    <w:p w14:paraId="7D6A08D8"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“Collar counties” refers to the four suburban Philadelphia counties, which share contiguous borders with the </w:t>
      </w:r>
      <w:r w:rsidRPr="00921EC5">
        <w:rPr>
          <w:rFonts w:ascii="Avenir Book" w:hAnsi="Avenir Book"/>
          <w:color w:val="000000" w:themeColor="text1"/>
          <w:sz w:val="18"/>
          <w:szCs w:val="18"/>
        </w:rPr>
        <w:t>city  – Bucks, Montgomery, Delaware and Chester.</w:t>
      </w:r>
    </w:p>
  </w:endnote>
  <w:endnote w:id="46">
    <w:p w14:paraId="67E23429" w14:textId="0C93D1BC"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Cty. Commissioners Ass’n of Pa</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_Ref62728121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42</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w:t>
      </w:r>
    </w:p>
  </w:endnote>
  <w:endnote w:id="47">
    <w:p w14:paraId="71F79DA6" w14:textId="7504F6A9"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Original research based on data from municipal budgets and the Public Defender Association (notes on file, </w:t>
      </w:r>
      <w:r w:rsidRPr="00921EC5">
        <w:rPr>
          <w:rFonts w:ascii="Avenir Book" w:hAnsi="Avenir Book"/>
          <w:i/>
          <w:iCs/>
          <w:color w:val="000000" w:themeColor="text1"/>
          <w:sz w:val="18"/>
          <w:szCs w:val="18"/>
        </w:rPr>
        <w:t>Temple University Beasley School of Law</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 </w:t>
      </w:r>
    </w:p>
  </w:endnote>
  <w:endnote w:id="48">
    <w:p w14:paraId="73C18162" w14:textId="216EFD93" w:rsidR="00D267E7" w:rsidRPr="00921EC5" w:rsidRDefault="00D267E7" w:rsidP="00921EC5">
      <w:pPr>
        <w:pStyle w:val="EndnoteText"/>
        <w:jc w:val="both"/>
        <w:rPr>
          <w:rStyle w:val="EndnoteReference"/>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Style w:val="EndnoteReference"/>
          <w:rFonts w:ascii="Avenir Book" w:hAnsi="Avenir Book"/>
          <w:color w:val="000000" w:themeColor="text1"/>
          <w:sz w:val="18"/>
          <w:szCs w:val="18"/>
        </w:rPr>
        <w:t xml:space="preserve"> </w:t>
      </w:r>
      <w:r w:rsidRPr="00921EC5">
        <w:rPr>
          <w:rStyle w:val="EndnoteReference"/>
          <w:rFonts w:ascii="Avenir Book" w:hAnsi="Avenir Book"/>
          <w:color w:val="000000" w:themeColor="text1"/>
          <w:sz w:val="18"/>
          <w:szCs w:val="18"/>
          <w:vertAlign w:val="baseline"/>
        </w:rPr>
        <w:t>Rounded to the nearest 0.5</w:t>
      </w:r>
      <w:r w:rsidRPr="00921EC5">
        <w:rPr>
          <w:rFonts w:ascii="Avenir Book" w:hAnsi="Avenir Book"/>
          <w:color w:val="000000" w:themeColor="text1"/>
          <w:sz w:val="18"/>
          <w:szCs w:val="18"/>
        </w:rPr>
        <w:t xml:space="preserve"> for ease of reference.</w:t>
      </w:r>
    </w:p>
  </w:endnote>
  <w:endnote w:id="49">
    <w:p w14:paraId="250EDAEE" w14:textId="2CB9732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Montgomery Cty., Pa.</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County Commissioners</w:t>
      </w:r>
      <w:r w:rsidRPr="00921EC5">
        <w:rPr>
          <w:rFonts w:ascii="Avenir Book" w:hAnsi="Avenir Book"/>
          <w:color w:val="000000" w:themeColor="text1"/>
          <w:sz w:val="18"/>
          <w:szCs w:val="18"/>
        </w:rPr>
        <w:t xml:space="preserve">, https://www.montcopa.org/95/County-Commissioners (last accessed Nov. 11, 2020). </w:t>
      </w:r>
    </w:p>
  </w:endnote>
  <w:endnote w:id="50">
    <w:p w14:paraId="45F19B07" w14:textId="4D70F923"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51">
    <w:p w14:paraId="60D528B8" w14:textId="1AED47DC"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52">
    <w:p w14:paraId="6C87F821" w14:textId="0C62B485"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53">
    <w:p w14:paraId="3746E94C" w14:textId="30BCA086"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54">
    <w:p w14:paraId="3670E43F" w14:textId="3A915204"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55">
    <w:p w14:paraId="23F12459"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Montgomery Cty., Pa.</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Proposed 2020 Budget</w:t>
      </w:r>
      <w:r w:rsidRPr="00921EC5">
        <w:rPr>
          <w:rFonts w:ascii="Avenir Book" w:hAnsi="Avenir Book"/>
          <w:color w:val="000000" w:themeColor="text1"/>
          <w:sz w:val="18"/>
          <w:szCs w:val="18"/>
        </w:rPr>
        <w:t xml:space="preserve"> (2019).  </w:t>
      </w:r>
    </w:p>
  </w:endnote>
  <w:endnote w:id="56">
    <w:p w14:paraId="750C2D8A" w14:textId="5FBC0E6B"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57">
    <w:p w14:paraId="6F3C04B6" w14:textId="325CCAFD"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r w:rsidRPr="00921EC5">
        <w:rPr>
          <w:rFonts w:ascii="Avenir Book" w:hAnsi="Avenir Book"/>
          <w:smallCaps/>
          <w:color w:val="000000" w:themeColor="text1"/>
          <w:sz w:val="18"/>
          <w:szCs w:val="18"/>
        </w:rPr>
        <w:t>; Montgomery Cty., Pa.</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Proposed 2019 Budget and Capital Improvement Program 2019-2023 (2018). </w:t>
      </w:r>
    </w:p>
  </w:endnote>
  <w:endnote w:id="58">
    <w:p w14:paraId="6C8DA470" w14:textId="2AD5AF59"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Montgomery Cty, Pa., Montgomery County Pennsylvania Proposed 2020 Budget (Nov. 21, 2019), </w:t>
      </w:r>
      <w:hyperlink r:id="rId12" w:history="1">
        <w:r w:rsidRPr="00921EC5">
          <w:rPr>
            <w:rStyle w:val="Hyperlink"/>
            <w:rFonts w:ascii="Avenir Book" w:hAnsi="Avenir Book"/>
            <w:color w:val="000000" w:themeColor="text1"/>
            <w:sz w:val="18"/>
            <w:szCs w:val="18"/>
          </w:rPr>
          <w:t>https://www.montcopa.org/DocumentCenter/View/26034/Proposed-2020-Budget</w:t>
        </w:r>
      </w:hyperlink>
      <w:r w:rsidRPr="00921EC5">
        <w:rPr>
          <w:rFonts w:ascii="Avenir Book" w:hAnsi="Avenir Book"/>
          <w:color w:val="000000" w:themeColor="text1"/>
          <w:sz w:val="18"/>
          <w:szCs w:val="18"/>
        </w:rPr>
        <w:t xml:space="preserve"> (last accessed Dec. 12, 2020)</w:t>
      </w:r>
    </w:p>
  </w:endnote>
  <w:endnote w:id="59">
    <w:p w14:paraId="10EA534D" w14:textId="093990C2"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Montgomery Cty. Office of Pub. Def.; Montgomery Cty., Pa.</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Public Defender: Staff Directory</w:t>
      </w:r>
      <w:r w:rsidRPr="00921EC5">
        <w:rPr>
          <w:rFonts w:ascii="Avenir Book" w:hAnsi="Avenir Book"/>
          <w:color w:val="000000" w:themeColor="text1"/>
          <w:sz w:val="18"/>
          <w:szCs w:val="18"/>
        </w:rPr>
        <w:t xml:space="preserve">, https://www.montcopa.org/Directory.aspx?did=86 (last accessed Nov. 11, 2020). </w:t>
      </w:r>
    </w:p>
  </w:endnote>
  <w:endnote w:id="60">
    <w:p w14:paraId="088A7922" w14:textId="5C430A9C"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smallCaps/>
          <w:color w:val="000000" w:themeColor="text1"/>
          <w:sz w:val="18"/>
          <w:szCs w:val="18"/>
        </w:rPr>
        <w:t>Montgomery Cty., Pa.</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Public Defender</w:t>
      </w:r>
      <w:r w:rsidRPr="00921EC5">
        <w:rPr>
          <w:rFonts w:ascii="Avenir Book" w:hAnsi="Avenir Book"/>
          <w:color w:val="000000" w:themeColor="text1"/>
          <w:sz w:val="18"/>
          <w:szCs w:val="18"/>
        </w:rPr>
        <w:t xml:space="preserve">, https://www.montcopa.org/201/Public-Defender (last accessed Nov. 11, 2020). </w:t>
      </w:r>
    </w:p>
  </w:endnote>
  <w:endnote w:id="61">
    <w:p w14:paraId="4355BDC1" w14:textId="6178F87C"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See Id.</w:t>
      </w:r>
    </w:p>
  </w:endnote>
  <w:endnote w:id="62">
    <w:p w14:paraId="4B5D7BFD" w14:textId="3F9F2B8F"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Montgomery Cty., Pa.</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Training</w:t>
      </w:r>
      <w:r w:rsidRPr="00921EC5">
        <w:rPr>
          <w:rFonts w:ascii="Avenir Book" w:hAnsi="Avenir Book"/>
          <w:color w:val="000000" w:themeColor="text1"/>
          <w:sz w:val="18"/>
          <w:szCs w:val="18"/>
        </w:rPr>
        <w:t xml:space="preserve">, https://www.montcopa.org/2817/Training (last accessed Nov. 11, 2020). </w:t>
      </w:r>
    </w:p>
  </w:endnote>
  <w:endnote w:id="63">
    <w:p w14:paraId="5C6A81CF" w14:textId="02E5F744"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64">
    <w:p w14:paraId="7D02C76D" w14:textId="2D82CC45"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65">
    <w:p w14:paraId="6EA989A5" w14:textId="5FDA0231"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66">
    <w:p w14:paraId="79127241" w14:textId="24BA2080"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67">
    <w:p w14:paraId="53B6166E" w14:textId="607A201E"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68">
    <w:p w14:paraId="704AAFB7"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Mary Sue Backus &amp; Paul Marcus, </w:t>
      </w:r>
      <w:r w:rsidRPr="00921EC5">
        <w:rPr>
          <w:rFonts w:ascii="Avenir Book" w:hAnsi="Avenir Book"/>
          <w:i/>
          <w:color w:val="000000" w:themeColor="text1"/>
          <w:sz w:val="18"/>
          <w:szCs w:val="18"/>
        </w:rPr>
        <w:t>The Right to Counsel in Criminal Cases, A National Crisis</w:t>
      </w:r>
      <w:r w:rsidRPr="00921EC5">
        <w:rPr>
          <w:rFonts w:ascii="Avenir Book" w:hAnsi="Avenir Book"/>
          <w:color w:val="000000" w:themeColor="text1"/>
          <w:sz w:val="18"/>
          <w:szCs w:val="18"/>
        </w:rPr>
        <w:t xml:space="preserve">, 57 </w:t>
      </w:r>
      <w:r w:rsidRPr="00921EC5">
        <w:rPr>
          <w:rFonts w:ascii="Avenir Book" w:hAnsi="Avenir Book"/>
          <w:smallCaps/>
          <w:color w:val="000000" w:themeColor="text1"/>
          <w:sz w:val="18"/>
          <w:szCs w:val="18"/>
        </w:rPr>
        <w:t>Hastings L.J.</w:t>
      </w:r>
      <w:r w:rsidRPr="00921EC5">
        <w:rPr>
          <w:rFonts w:ascii="Avenir Book" w:hAnsi="Avenir Book"/>
          <w:color w:val="000000" w:themeColor="text1"/>
          <w:sz w:val="18"/>
          <w:szCs w:val="18"/>
        </w:rPr>
        <w:t xml:space="preserve"> 1031, 1069 (2006).</w:t>
      </w:r>
    </w:p>
  </w:endnote>
  <w:endnote w:id="69">
    <w:p w14:paraId="7FB4FBD3" w14:textId="7A3C9703" w:rsidR="00D267E7" w:rsidRPr="00921EC5" w:rsidRDefault="00D267E7" w:rsidP="00921EC5">
      <w:pPr>
        <w:pStyle w:val="EndnoteText"/>
        <w:jc w:val="both"/>
        <w:rPr>
          <w:rFonts w:ascii="Avenir Book" w:hAnsi="Avenir Book"/>
          <w:i/>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smallCaps/>
          <w:color w:val="000000" w:themeColor="text1"/>
          <w:sz w:val="18"/>
          <w:szCs w:val="18"/>
        </w:rPr>
        <w:t xml:space="preserve">ABA Standing Committee on Legal Aid and Indigent Defendants,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_Ref62729658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21</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2.</w:t>
      </w:r>
    </w:p>
  </w:endnote>
  <w:endnote w:id="70">
    <w:p w14:paraId="7E11B5C4" w14:textId="2F909C6F"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Nat’l Ass’n of Pub. Defs</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Policy Statement on Independence</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_Ref62729886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15</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2.</w:t>
      </w:r>
    </w:p>
  </w:endnote>
  <w:endnote w:id="71">
    <w:p w14:paraId="08770D87"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color w:val="000000" w:themeColor="text1"/>
          <w:sz w:val="18"/>
          <w:szCs w:val="18"/>
          <w:u w:val="single"/>
        </w:rPr>
        <w:t>Polk County v. Dodson</w:t>
      </w:r>
      <w:r w:rsidRPr="00921EC5">
        <w:rPr>
          <w:rFonts w:ascii="Avenir Book" w:hAnsi="Avenir Book"/>
          <w:color w:val="000000" w:themeColor="text1"/>
          <w:sz w:val="18"/>
          <w:szCs w:val="18"/>
        </w:rPr>
        <w:t>, 454 U.S. 312, 313 (1981).</w:t>
      </w:r>
    </w:p>
  </w:endnote>
  <w:endnote w:id="72">
    <w:p w14:paraId="56380588" w14:textId="3CE838A2"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Nat’l Ass’n of Pub. Defs</w:t>
      </w:r>
      <w:r w:rsidRPr="00921EC5">
        <w:rPr>
          <w:rFonts w:ascii="Avenir Book" w:hAnsi="Avenir Book"/>
          <w:color w:val="000000" w:themeColor="text1"/>
          <w:sz w:val="18"/>
          <w:szCs w:val="18"/>
        </w:rPr>
        <w:t>.,</w:t>
      </w:r>
      <w:r w:rsidRPr="00921EC5">
        <w:rPr>
          <w:rFonts w:ascii="Avenir Book" w:hAnsi="Avenir Book"/>
          <w:i/>
          <w:color w:val="000000" w:themeColor="text1"/>
          <w:sz w:val="18"/>
          <w:szCs w:val="18"/>
        </w:rPr>
        <w:t xml:space="preserve"> </w:t>
      </w:r>
      <w:r w:rsidRPr="00921EC5">
        <w:rPr>
          <w:rFonts w:ascii="Avenir Book" w:hAnsi="Avenir Book"/>
          <w:smallCaps/>
          <w:color w:val="000000" w:themeColor="text1"/>
          <w:sz w:val="18"/>
          <w:szCs w:val="18"/>
        </w:rPr>
        <w:t>Policy Statement on Independence,</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_Ref62729886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15</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1.</w:t>
      </w:r>
    </w:p>
  </w:endnote>
  <w:endnote w:id="73">
    <w:p w14:paraId="3E3909EC" w14:textId="5296521F"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Id. </w:t>
      </w:r>
      <w:r w:rsidRPr="00921EC5">
        <w:rPr>
          <w:rFonts w:ascii="Avenir Book" w:hAnsi="Avenir Book"/>
          <w:color w:val="000000" w:themeColor="text1"/>
          <w:sz w:val="18"/>
          <w:szCs w:val="18"/>
        </w:rPr>
        <w:t>at 5 (May 2020).</w:t>
      </w:r>
    </w:p>
  </w:endnote>
  <w:endnote w:id="74">
    <w:p w14:paraId="33364D8C" w14:textId="79117244"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Irene Oritseweyinmi Joe, </w:t>
      </w:r>
      <w:r w:rsidRPr="00921EC5">
        <w:rPr>
          <w:rFonts w:ascii="Avenir Book" w:hAnsi="Avenir Book"/>
          <w:i/>
          <w:color w:val="000000" w:themeColor="text1"/>
          <w:sz w:val="18"/>
          <w:szCs w:val="18"/>
        </w:rPr>
        <w:t>Structuring the Public Defender</w:t>
      </w:r>
      <w:r w:rsidRPr="00921EC5">
        <w:rPr>
          <w:rFonts w:ascii="Avenir Book" w:hAnsi="Avenir Book"/>
          <w:color w:val="000000" w:themeColor="text1"/>
          <w:sz w:val="18"/>
          <w:szCs w:val="18"/>
        </w:rPr>
        <w:t xml:space="preserve">, 106 </w:t>
      </w:r>
      <w:r w:rsidRPr="00921EC5">
        <w:rPr>
          <w:rFonts w:ascii="Avenir Book" w:hAnsi="Avenir Book"/>
          <w:smallCaps/>
          <w:color w:val="000000" w:themeColor="text1"/>
          <w:sz w:val="18"/>
          <w:szCs w:val="18"/>
        </w:rPr>
        <w:t>Iowa L. Rev.</w:t>
      </w:r>
      <w:r w:rsidRPr="00921EC5">
        <w:rPr>
          <w:rFonts w:ascii="Avenir Book" w:hAnsi="Avenir Book"/>
          <w:color w:val="000000" w:themeColor="text1"/>
          <w:sz w:val="18"/>
          <w:szCs w:val="18"/>
        </w:rPr>
        <w:t xml:space="preserve"> 113 (2020). </w:t>
      </w:r>
    </w:p>
  </w:endnote>
  <w:endnote w:id="75">
    <w:p w14:paraId="7A6BF6FA" w14:textId="4784F795"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Advisory Comm. on Servs. to Indigent Criminal Defendants,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_Ref62734686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12</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55.</w:t>
      </w:r>
    </w:p>
  </w:endnote>
  <w:endnote w:id="76">
    <w:p w14:paraId="1AEEBF25" w14:textId="507BB4A1"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77">
    <w:p w14:paraId="5427BEB0" w14:textId="3ED0A821"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ABA Standing Comm. on Legal Aid and Indigent Defendants, Gideon’s Broken Promise: America’s Continuing Quest for Equal Justice </w:t>
      </w:r>
      <w:r w:rsidRPr="00921EC5">
        <w:rPr>
          <w:rFonts w:ascii="Avenir Book" w:hAnsi="Avenir Book"/>
          <w:color w:val="000000" w:themeColor="text1"/>
          <w:sz w:val="18"/>
          <w:szCs w:val="18"/>
        </w:rPr>
        <w:t xml:space="preserve">20 (2004), </w:t>
      </w:r>
      <w:hyperlink r:id="rId13" w:history="1">
        <w:r w:rsidRPr="00921EC5">
          <w:rPr>
            <w:rStyle w:val="Hyperlink"/>
            <w:rFonts w:ascii="Avenir Book" w:hAnsi="Avenir Book"/>
            <w:color w:val="000000" w:themeColor="text1"/>
            <w:sz w:val="18"/>
            <w:szCs w:val="18"/>
          </w:rPr>
          <w:t>https://www.in.gov/publicdefender/files/ABAGideonsBrokenPromise.pdf</w:t>
        </w:r>
      </w:hyperlink>
      <w:r w:rsidRPr="00921EC5">
        <w:rPr>
          <w:rFonts w:ascii="Avenir Book" w:hAnsi="Avenir Book"/>
          <w:color w:val="000000" w:themeColor="text1"/>
          <w:sz w:val="18"/>
          <w:szCs w:val="18"/>
        </w:rPr>
        <w:t>.</w:t>
      </w:r>
    </w:p>
  </w:endnote>
  <w:endnote w:id="78">
    <w:p w14:paraId="13CB5463"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Ronald F. Wright, </w:t>
      </w:r>
      <w:r w:rsidRPr="00921EC5">
        <w:rPr>
          <w:rFonts w:ascii="Avenir Book" w:hAnsi="Avenir Book"/>
          <w:i/>
          <w:color w:val="000000" w:themeColor="text1"/>
          <w:sz w:val="18"/>
          <w:szCs w:val="18"/>
        </w:rPr>
        <w:t>Public Defender Elections and Popular Control Over Criminal Justice</w:t>
      </w:r>
      <w:r w:rsidRPr="00921EC5">
        <w:rPr>
          <w:rFonts w:ascii="Avenir Book" w:hAnsi="Avenir Book"/>
          <w:color w:val="000000" w:themeColor="text1"/>
          <w:sz w:val="18"/>
          <w:szCs w:val="18"/>
        </w:rPr>
        <w:t xml:space="preserve">, 75 </w:t>
      </w:r>
      <w:r w:rsidRPr="00921EC5">
        <w:rPr>
          <w:rFonts w:ascii="Avenir Book" w:hAnsi="Avenir Book"/>
          <w:smallCaps/>
          <w:color w:val="000000" w:themeColor="text1"/>
          <w:sz w:val="18"/>
          <w:szCs w:val="18"/>
        </w:rPr>
        <w:t>Mo. L. Rev.</w:t>
      </w:r>
      <w:r w:rsidRPr="00921EC5">
        <w:rPr>
          <w:rFonts w:ascii="Avenir Book" w:hAnsi="Avenir Book"/>
          <w:color w:val="000000" w:themeColor="text1"/>
          <w:sz w:val="18"/>
          <w:szCs w:val="18"/>
        </w:rPr>
        <w:t xml:space="preserve"> 803, 812-13 (2010).</w:t>
      </w:r>
    </w:p>
  </w:endnote>
  <w:endnote w:id="79">
    <w:p w14:paraId="7A710366" w14:textId="1556CAB5"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Nat’l Ass’n of Pub. Defs</w:t>
      </w:r>
      <w:r w:rsidRPr="00921EC5">
        <w:rPr>
          <w:rFonts w:ascii="Avenir Book" w:hAnsi="Avenir Book"/>
          <w:color w:val="000000" w:themeColor="text1"/>
          <w:sz w:val="18"/>
          <w:szCs w:val="18"/>
        </w:rPr>
        <w:t>.</w:t>
      </w:r>
      <w:r w:rsidRPr="00921EC5">
        <w:rPr>
          <w:rFonts w:ascii="Avenir Book" w:hAnsi="Avenir Book"/>
          <w:smallCaps/>
          <w:color w:val="000000" w:themeColor="text1"/>
          <w:sz w:val="18"/>
          <w:szCs w:val="18"/>
        </w:rPr>
        <w:t>, Policy Statement on Independence,</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_Ref62729886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15</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4.</w:t>
      </w:r>
    </w:p>
  </w:endnote>
  <w:endnote w:id="80">
    <w:p w14:paraId="5C9C4B0D"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Millan Das, </w:t>
      </w:r>
      <w:r w:rsidRPr="00921EC5">
        <w:rPr>
          <w:rFonts w:ascii="Avenir Book" w:hAnsi="Avenir Book"/>
          <w:i/>
          <w:color w:val="000000" w:themeColor="text1"/>
          <w:sz w:val="18"/>
          <w:szCs w:val="18"/>
        </w:rPr>
        <w:t>Impediments to Independence: How the Workplace Culture of Public Defender Offices Negatively Affects the Representation of Indigent Defendants</w:t>
      </w:r>
      <w:r w:rsidRPr="00921EC5">
        <w:rPr>
          <w:rFonts w:ascii="Avenir Book" w:hAnsi="Avenir Book"/>
          <w:color w:val="000000" w:themeColor="text1"/>
          <w:sz w:val="18"/>
          <w:szCs w:val="18"/>
        </w:rPr>
        <w:t xml:space="preserve">, 32 </w:t>
      </w:r>
      <w:r w:rsidRPr="00921EC5">
        <w:rPr>
          <w:rFonts w:ascii="Avenir Book" w:hAnsi="Avenir Book"/>
          <w:smallCaps/>
          <w:color w:val="000000" w:themeColor="text1"/>
          <w:sz w:val="18"/>
          <w:szCs w:val="18"/>
        </w:rPr>
        <w:t>Geo. J. Legal Ethics</w:t>
      </w:r>
      <w:r w:rsidRPr="00921EC5">
        <w:rPr>
          <w:rFonts w:ascii="Avenir Book" w:hAnsi="Avenir Book"/>
          <w:color w:val="000000" w:themeColor="text1"/>
          <w:sz w:val="18"/>
          <w:szCs w:val="18"/>
        </w:rPr>
        <w:t xml:space="preserve"> 469, 475 (2019).</w:t>
      </w:r>
    </w:p>
  </w:endnote>
  <w:endnote w:id="81">
    <w:p w14:paraId="72F81A3F" w14:textId="7356BD85"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Nat’l Ass’n of Pub. Defs</w:t>
      </w:r>
      <w:r w:rsidRPr="00921EC5">
        <w:rPr>
          <w:rFonts w:ascii="Avenir Book" w:hAnsi="Avenir Book"/>
          <w:color w:val="000000" w:themeColor="text1"/>
          <w:sz w:val="18"/>
          <w:szCs w:val="18"/>
        </w:rPr>
        <w:t>.</w:t>
      </w:r>
      <w:r w:rsidRPr="00921EC5">
        <w:rPr>
          <w:rFonts w:ascii="Avenir Book" w:hAnsi="Avenir Book"/>
          <w:smallCaps/>
          <w:color w:val="000000" w:themeColor="text1"/>
          <w:sz w:val="18"/>
          <w:szCs w:val="18"/>
        </w:rPr>
        <w:t>, Policy Statement on Independence,</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_Ref62729886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15</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4.</w:t>
      </w:r>
    </w:p>
  </w:endnote>
  <w:endnote w:id="82">
    <w:p w14:paraId="3313CBA3" w14:textId="09913F3A"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83">
    <w:p w14:paraId="304E88A1" w14:textId="716FAEAE"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Joe,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_Ref62736251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73</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19.</w:t>
      </w:r>
    </w:p>
  </w:endnote>
  <w:endnote w:id="84">
    <w:p w14:paraId="4FDC50B8" w14:textId="76DB15D9"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Id. </w:t>
      </w:r>
      <w:r w:rsidRPr="00921EC5">
        <w:rPr>
          <w:rFonts w:ascii="Avenir Book" w:hAnsi="Avenir Book"/>
          <w:color w:val="000000" w:themeColor="text1"/>
          <w:sz w:val="18"/>
          <w:szCs w:val="18"/>
        </w:rPr>
        <w:t>at 19-20.</w:t>
      </w:r>
    </w:p>
  </w:endnote>
  <w:endnote w:id="85">
    <w:p w14:paraId="047E9086" w14:textId="23EA1061"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The Sixth Amendment Center, </w:t>
      </w:r>
      <w:r w:rsidRPr="00921EC5">
        <w:rPr>
          <w:rFonts w:ascii="Avenir Book" w:hAnsi="Avenir Book"/>
          <w:i/>
          <w:color w:val="000000" w:themeColor="text1"/>
          <w:sz w:val="18"/>
          <w:szCs w:val="18"/>
        </w:rPr>
        <w:t>Understanding judicial interference with the defense function – ABA Principle 1</w:t>
      </w:r>
      <w:r w:rsidRPr="00921EC5">
        <w:rPr>
          <w:rFonts w:ascii="Avenir Book" w:hAnsi="Avenir Book"/>
          <w:color w:val="000000" w:themeColor="text1"/>
          <w:sz w:val="18"/>
          <w:szCs w:val="18"/>
        </w:rPr>
        <w:t xml:space="preserve">, </w:t>
      </w:r>
      <w:hyperlink r:id="rId14" w:anchor=":~:text=Although%20no%20two%20indigent%20defense">
        <w:r w:rsidRPr="00921EC5">
          <w:rPr>
            <w:rFonts w:ascii="Avenir Book" w:hAnsi="Avenir Book"/>
            <w:color w:val="000000" w:themeColor="text1"/>
            <w:sz w:val="18"/>
            <w:szCs w:val="18"/>
            <w:u w:val="single"/>
          </w:rPr>
          <w:t>https://sixthamendment.org/the-right-to-counsel/national-standards-for-providing-the-right-to-counsel/understanding-judicial-interference-with-the-defense-function-aba-principle-1/#:~:text=Although%20no%20two%20indigent%20defense</w:t>
        </w:r>
      </w:hyperlink>
      <w:r w:rsidRPr="00921EC5">
        <w:rPr>
          <w:rFonts w:ascii="Avenir Book" w:hAnsi="Avenir Book"/>
          <w:color w:val="000000" w:themeColor="text1"/>
          <w:sz w:val="18"/>
          <w:szCs w:val="18"/>
        </w:rPr>
        <w:t>).</w:t>
      </w:r>
    </w:p>
  </w:endnote>
  <w:endnote w:id="86">
    <w:p w14:paraId="067B2798" w14:textId="5B7CC468"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iCs/>
          <w:color w:val="000000" w:themeColor="text1"/>
          <w:sz w:val="18"/>
          <w:szCs w:val="18"/>
        </w:rPr>
        <w:t>See</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Advisory Comm. on Servs. to Indigent Criminal Defendants,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_Ref62734686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12</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xml:space="preserve">, at 55; </w:t>
      </w:r>
      <w:r w:rsidRPr="00921EC5">
        <w:rPr>
          <w:rFonts w:ascii="Avenir Book" w:hAnsi="Avenir Book"/>
          <w:smallCaps/>
          <w:color w:val="000000" w:themeColor="text1"/>
          <w:sz w:val="18"/>
          <w:szCs w:val="18"/>
        </w:rPr>
        <w:t>Const. Proj., Justice Denied: America’s Continuing Neglect of Our Constitutional Right to Counsel</w:t>
      </w:r>
      <w:r w:rsidRPr="00921EC5">
        <w:rPr>
          <w:rFonts w:ascii="Avenir Book" w:hAnsi="Avenir Book"/>
          <w:color w:val="000000" w:themeColor="text1"/>
          <w:sz w:val="18"/>
          <w:szCs w:val="18"/>
        </w:rPr>
        <w:t xml:space="preserve"> 81 (2009).</w:t>
      </w:r>
    </w:p>
  </w:endnote>
  <w:endnote w:id="87">
    <w:p w14:paraId="11D47E28" w14:textId="3FEFF2B2"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Das,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_Ref62736540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79</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475.</w:t>
      </w:r>
    </w:p>
  </w:endnote>
  <w:endnote w:id="88">
    <w:p w14:paraId="46F780B0" w14:textId="3B60A83A" w:rsidR="00D267E7" w:rsidRPr="00921EC5" w:rsidRDefault="00D267E7" w:rsidP="00921EC5">
      <w:pPr>
        <w:pStyle w:val="EndnoteText"/>
        <w:jc w:val="both"/>
        <w:rPr>
          <w:rFonts w:ascii="Avenir Book" w:hAnsi="Avenir Book"/>
          <w:color w:val="000000" w:themeColor="text1"/>
          <w:sz w:val="2"/>
          <w:szCs w:val="2"/>
        </w:rPr>
      </w:pPr>
      <w:r w:rsidRPr="00921EC5">
        <w:rPr>
          <w:rStyle w:val="EndnoteReference"/>
          <w:rFonts w:ascii="Avenir Book" w:hAnsi="Avenir Book"/>
          <w:color w:val="000000" w:themeColor="text1"/>
          <w:sz w:val="2"/>
          <w:szCs w:val="2"/>
        </w:rPr>
        <w:endnoteRef/>
      </w:r>
      <w:r w:rsidRPr="00921EC5">
        <w:rPr>
          <w:rFonts w:ascii="Avenir Book" w:hAnsi="Avenir Book"/>
          <w:color w:val="000000" w:themeColor="text1"/>
          <w:sz w:val="2"/>
          <w:szCs w:val="2"/>
        </w:rPr>
        <w:t xml:space="preserve"> </w:t>
      </w:r>
    </w:p>
  </w:endnote>
  <w:endnote w:id="89">
    <w:p w14:paraId="040A366E" w14:textId="47D3A789" w:rsidR="00D267E7" w:rsidRPr="00921EC5" w:rsidRDefault="00D267E7" w:rsidP="00921EC5">
      <w:pPr>
        <w:pStyle w:val="EndnoteText"/>
        <w:jc w:val="both"/>
        <w:rPr>
          <w:rFonts w:ascii="Avenir Book" w:hAnsi="Avenir Book"/>
          <w:color w:val="000000" w:themeColor="text1"/>
          <w:sz w:val="2"/>
          <w:szCs w:val="2"/>
        </w:rPr>
      </w:pPr>
      <w:r w:rsidRPr="00921EC5">
        <w:rPr>
          <w:rStyle w:val="EndnoteReference"/>
          <w:rFonts w:ascii="Avenir Book" w:hAnsi="Avenir Book"/>
          <w:color w:val="000000" w:themeColor="text1"/>
          <w:sz w:val="2"/>
          <w:szCs w:val="2"/>
        </w:rPr>
        <w:endnoteRef/>
      </w:r>
      <w:r w:rsidRPr="00921EC5">
        <w:rPr>
          <w:rFonts w:ascii="Avenir Book" w:hAnsi="Avenir Book"/>
          <w:color w:val="000000" w:themeColor="text1"/>
          <w:sz w:val="2"/>
          <w:szCs w:val="2"/>
        </w:rPr>
        <w:t xml:space="preserve"> </w:t>
      </w:r>
    </w:p>
  </w:endnote>
  <w:endnote w:id="90">
    <w:p w14:paraId="188888C4" w14:textId="3E92474A"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LARA Director Signs New Indigent Defense Minimum Standard, Protects the Fundamental Constitutional Right to Counsel, </w:t>
      </w:r>
      <w:hyperlink r:id="rId15">
        <w:r w:rsidRPr="00921EC5">
          <w:rPr>
            <w:rFonts w:ascii="Avenir Book" w:hAnsi="Avenir Book"/>
            <w:color w:val="000000" w:themeColor="text1"/>
            <w:sz w:val="18"/>
            <w:szCs w:val="18"/>
            <w:u w:val="single"/>
          </w:rPr>
          <w:t>https://docs.google.com/document/d/1TqHTaDKIQ0ELBcRqFaJDUhtkoYPbKQXjDHpcibcD5l0/edit</w:t>
        </w:r>
      </w:hyperlink>
      <w:r w:rsidRPr="00921EC5">
        <w:rPr>
          <w:rFonts w:ascii="Avenir Book" w:hAnsi="Avenir Book"/>
          <w:color w:val="000000" w:themeColor="text1"/>
          <w:sz w:val="18"/>
          <w:szCs w:val="18"/>
          <w:u w:val="single"/>
        </w:rPr>
        <w:t xml:space="preserve">. </w:t>
      </w:r>
    </w:p>
  </w:endnote>
  <w:endnote w:id="91">
    <w:p w14:paraId="411AA6D9" w14:textId="55C6649F"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92">
    <w:p w14:paraId="34E1A931" w14:textId="2CE21605"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Interviews with Montgomery County Office of the Public Defender attorneys (conducted December 7 – 9, </w:t>
      </w:r>
      <w:r w:rsidRPr="00921EC5">
        <w:rPr>
          <w:rFonts w:ascii="Avenir Book" w:hAnsi="Avenir Book"/>
          <w:color w:val="000000" w:themeColor="text1"/>
          <w:sz w:val="18"/>
          <w:szCs w:val="18"/>
        </w:rPr>
        <w:t xml:space="preserve">2020)(notes on file, </w:t>
      </w:r>
      <w:r w:rsidRPr="00921EC5">
        <w:rPr>
          <w:rFonts w:ascii="Avenir Book" w:hAnsi="Avenir Book"/>
          <w:i/>
          <w:iCs/>
          <w:color w:val="000000" w:themeColor="text1"/>
          <w:sz w:val="18"/>
          <w:szCs w:val="18"/>
        </w:rPr>
        <w:t>Temple University Beasley School of Law</w:t>
      </w:r>
      <w:r w:rsidRPr="00921EC5">
        <w:rPr>
          <w:rFonts w:ascii="Avenir Book" w:hAnsi="Avenir Book"/>
          <w:color w:val="000000" w:themeColor="text1"/>
          <w:sz w:val="18"/>
          <w:szCs w:val="18"/>
        </w:rPr>
        <w:t>). Please note that the office currently has sixty-six employees and the eleven individuals we spoke with may not be representative of the entire office.</w:t>
      </w:r>
    </w:p>
  </w:endnote>
  <w:endnote w:id="93">
    <w:p w14:paraId="50C55785" w14:textId="35776F49"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iCs/>
          <w:color w:val="000000" w:themeColor="text1"/>
          <w:sz w:val="18"/>
          <w:szCs w:val="18"/>
        </w:rPr>
        <w:t>Id</w:t>
      </w:r>
      <w:r w:rsidRPr="00921EC5">
        <w:rPr>
          <w:rFonts w:ascii="Avenir Book" w:hAnsi="Avenir Book"/>
          <w:color w:val="000000" w:themeColor="text1"/>
          <w:sz w:val="18"/>
          <w:szCs w:val="18"/>
        </w:rPr>
        <w:t>.</w:t>
      </w:r>
    </w:p>
  </w:endnote>
  <w:endnote w:id="94">
    <w:p w14:paraId="3DBB7630" w14:textId="59A2B5BD"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95">
    <w:p w14:paraId="6AAFD6BF" w14:textId="251749F8"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96">
    <w:p w14:paraId="53E4E0EA" w14:textId="6800606E"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ABA Standing Committee on Legal Aid and Indigent Defendants,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_Ref62729658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21</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1.</w:t>
      </w:r>
    </w:p>
  </w:endnote>
  <w:endnote w:id="97">
    <w:p w14:paraId="0E955843" w14:textId="7DE8D625"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See</w:t>
      </w:r>
      <w:r w:rsidRPr="00921EC5">
        <w:rPr>
          <w:rFonts w:ascii="Avenir Book" w:hAnsi="Avenir Book"/>
          <w:color w:val="000000" w:themeColor="text1"/>
          <w:sz w:val="18"/>
          <w:szCs w:val="18"/>
        </w:rPr>
        <w:t xml:space="preserve">, e.g., </w:t>
      </w:r>
      <w:r w:rsidRPr="00921EC5">
        <w:rPr>
          <w:rFonts w:ascii="Avenir Book" w:hAnsi="Avenir Book"/>
          <w:smallCaps/>
          <w:color w:val="000000" w:themeColor="text1"/>
          <w:sz w:val="18"/>
          <w:szCs w:val="18"/>
        </w:rPr>
        <w:t>National Advisory Commission on Criminal Justice Standards and Goals, Chapter 13, The</w:t>
      </w:r>
      <w:r w:rsidRPr="00921EC5">
        <w:rPr>
          <w:rFonts w:ascii="Avenir Book" w:hAnsi="Avenir Book"/>
          <w:i/>
          <w:smallCaps/>
          <w:color w:val="000000" w:themeColor="text1"/>
          <w:sz w:val="18"/>
          <w:szCs w:val="18"/>
        </w:rPr>
        <w:t xml:space="preserve"> </w:t>
      </w:r>
      <w:r w:rsidRPr="00921EC5">
        <w:rPr>
          <w:rFonts w:ascii="Avenir Book" w:hAnsi="Avenir Book"/>
          <w:smallCaps/>
          <w:color w:val="000000" w:themeColor="text1"/>
          <w:sz w:val="18"/>
          <w:szCs w:val="18"/>
        </w:rPr>
        <w:t xml:space="preserve">Defense  </w:t>
      </w:r>
      <w:r w:rsidRPr="00921EC5">
        <w:rPr>
          <w:rFonts w:ascii="Avenir Book" w:hAnsi="Avenir Book"/>
          <w:color w:val="000000" w:themeColor="text1"/>
          <w:sz w:val="18"/>
          <w:szCs w:val="18"/>
        </w:rPr>
        <w:t xml:space="preserve">Standards 13.8, 13.9 (1973); </w:t>
      </w:r>
      <w:r w:rsidRPr="00921EC5">
        <w:rPr>
          <w:rFonts w:ascii="Avenir Book" w:hAnsi="Avenir Book"/>
          <w:smallCaps/>
          <w:color w:val="000000" w:themeColor="text1"/>
          <w:sz w:val="18"/>
          <w:szCs w:val="18"/>
        </w:rPr>
        <w:t xml:space="preserve">National Study Commission on Defense Services, Guidelines for Legal Defense Systems in the United States </w:t>
      </w:r>
      <w:r w:rsidRPr="00921EC5">
        <w:rPr>
          <w:rFonts w:ascii="Avenir Book" w:hAnsi="Avenir Book"/>
          <w:color w:val="000000" w:themeColor="text1"/>
          <w:sz w:val="18"/>
          <w:szCs w:val="18"/>
        </w:rPr>
        <w:t xml:space="preserve">Guidelines 2.8, 2.18, 5.13 (1976); </w:t>
      </w:r>
      <w:r w:rsidRPr="00921EC5">
        <w:rPr>
          <w:rFonts w:ascii="Avenir Book" w:hAnsi="Avenir Book"/>
          <w:smallCaps/>
          <w:color w:val="000000" w:themeColor="text1"/>
          <w:sz w:val="18"/>
          <w:szCs w:val="18"/>
        </w:rPr>
        <w:t>ABA Standards for Criminal Justice, Providing Defense Services</w:t>
      </w:r>
      <w:r w:rsidRPr="00921EC5">
        <w:rPr>
          <w:rFonts w:ascii="Avenir Book" w:hAnsi="Avenir Book"/>
          <w:color w:val="000000" w:themeColor="text1"/>
          <w:sz w:val="18"/>
          <w:szCs w:val="18"/>
        </w:rPr>
        <w:t xml:space="preserve"> Standards 5-1.3, 5-1.6, 5-4.1 (3rd ed. 1992); </w:t>
      </w:r>
      <w:r w:rsidRPr="00921EC5">
        <w:rPr>
          <w:rFonts w:ascii="Avenir Book" w:hAnsi="Avenir Book"/>
          <w:smallCaps/>
          <w:color w:val="000000" w:themeColor="text1"/>
          <w:sz w:val="18"/>
          <w:szCs w:val="18"/>
        </w:rPr>
        <w:t xml:space="preserve">Standards for the Administration of Assigned Counsel Systems </w:t>
      </w:r>
      <w:r w:rsidRPr="00921EC5">
        <w:rPr>
          <w:rFonts w:ascii="Avenir Book" w:hAnsi="Avenir Book"/>
          <w:color w:val="000000" w:themeColor="text1"/>
          <w:sz w:val="18"/>
          <w:szCs w:val="18"/>
        </w:rPr>
        <w:t>Standard 2.2 (NLADA 1989);</w:t>
      </w:r>
      <w:r w:rsidRPr="00921EC5">
        <w:rPr>
          <w:rFonts w:ascii="Avenir Book" w:hAnsi="Avenir Book"/>
          <w:i/>
          <w:color w:val="000000" w:themeColor="text1"/>
          <w:sz w:val="18"/>
          <w:szCs w:val="18"/>
        </w:rPr>
        <w:t xml:space="preserve"> </w:t>
      </w:r>
      <w:r w:rsidRPr="00921EC5">
        <w:rPr>
          <w:rFonts w:ascii="Avenir Book" w:hAnsi="Avenir Book"/>
          <w:smallCaps/>
          <w:color w:val="000000" w:themeColor="text1"/>
          <w:sz w:val="18"/>
          <w:szCs w:val="18"/>
        </w:rPr>
        <w:t>NLADA, Guidelines for Negotiating and Awarding Contracts for Criminal Defense Services</w:t>
      </w:r>
      <w:r w:rsidRPr="00921EC5">
        <w:rPr>
          <w:rFonts w:ascii="Avenir Book" w:hAnsi="Avenir Book"/>
          <w:color w:val="000000" w:themeColor="text1"/>
          <w:sz w:val="18"/>
          <w:szCs w:val="18"/>
        </w:rPr>
        <w:t xml:space="preserve"> Guidelines II-1, 2 (1984); </w:t>
      </w:r>
      <w:r w:rsidRPr="00921EC5">
        <w:rPr>
          <w:rFonts w:ascii="Avenir Book" w:hAnsi="Avenir Book"/>
          <w:smallCaps/>
          <w:color w:val="000000" w:themeColor="text1"/>
          <w:sz w:val="18"/>
          <w:szCs w:val="18"/>
        </w:rPr>
        <w:t xml:space="preserve">National Conference of Commissioners on Uniform State Laws, Model Public Defender Act § </w:t>
      </w:r>
      <w:r w:rsidRPr="00921EC5">
        <w:rPr>
          <w:rFonts w:ascii="Avenir Book" w:hAnsi="Avenir Book"/>
          <w:color w:val="000000" w:themeColor="text1"/>
          <w:sz w:val="18"/>
          <w:szCs w:val="18"/>
        </w:rPr>
        <w:t xml:space="preserve">10(d) (1970); </w:t>
      </w:r>
      <w:r w:rsidRPr="00921EC5">
        <w:rPr>
          <w:rFonts w:ascii="Avenir Book" w:hAnsi="Avenir Book"/>
          <w:smallCaps/>
          <w:color w:val="000000" w:themeColor="text1"/>
          <w:sz w:val="18"/>
          <w:szCs w:val="18"/>
        </w:rPr>
        <w:t xml:space="preserve">Institute for Judicial Administration / ABA, Juvenile Justice Standards Relating to Counsel for Private Parties </w:t>
      </w:r>
      <w:r w:rsidRPr="00921EC5">
        <w:rPr>
          <w:rFonts w:ascii="Avenir Book" w:hAnsi="Avenir Book"/>
          <w:color w:val="000000" w:themeColor="text1"/>
          <w:sz w:val="18"/>
          <w:szCs w:val="18"/>
        </w:rPr>
        <w:t>Standard 2.1(D) (1979).</w:t>
      </w:r>
    </w:p>
  </w:endnote>
  <w:endnote w:id="98">
    <w:p w14:paraId="1267C15C" w14:textId="5021B9A9"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Scott Wallace &amp; David Carroll</w:t>
      </w:r>
      <w:r w:rsidRPr="00921EC5">
        <w:rPr>
          <w:rFonts w:ascii="Avenir Book" w:hAnsi="Avenir Book"/>
          <w:smallCaps/>
          <w:color w:val="000000" w:themeColor="text1"/>
          <w:sz w:val="18"/>
          <w:szCs w:val="18"/>
        </w:rPr>
        <w:t>, The Implementation and Impact of Indigent Defense Standards</w:t>
      </w:r>
      <w:r w:rsidRPr="00921EC5">
        <w:rPr>
          <w:rFonts w:ascii="Avenir Book" w:hAnsi="Avenir Book"/>
          <w:color w:val="000000" w:themeColor="text1"/>
          <w:sz w:val="18"/>
          <w:szCs w:val="18"/>
        </w:rPr>
        <w:t xml:space="preserve"> 12 (December 2003), (citing </w:t>
      </w:r>
      <w:r w:rsidRPr="00921EC5">
        <w:rPr>
          <w:rFonts w:ascii="Avenir Book" w:hAnsi="Avenir Book"/>
          <w:smallCaps/>
          <w:color w:val="000000" w:themeColor="text1"/>
          <w:sz w:val="18"/>
          <w:szCs w:val="18"/>
        </w:rPr>
        <w:t xml:space="preserve">National Advisory Commission on Criminal Justice Standards and Goals,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w:t>
      </w:r>
      <w:r w:rsidRPr="00921EC5">
        <w:rPr>
          <w:rFonts w:ascii="Avenir Book" w:hAnsi="Avenir Book"/>
          <w:smallCaps/>
          <w:color w:val="000000" w:themeColor="text1"/>
          <w:sz w:val="18"/>
          <w:szCs w:val="18"/>
        </w:rPr>
        <w:t xml:space="preserve"> </w:t>
      </w:r>
      <w:r w:rsidRPr="00921EC5">
        <w:rPr>
          <w:rFonts w:ascii="Avenir Book" w:hAnsi="Avenir Book"/>
          <w:smallCaps/>
          <w:color w:val="000000" w:themeColor="text1"/>
          <w:sz w:val="18"/>
          <w:szCs w:val="18"/>
        </w:rPr>
        <w:fldChar w:fldCharType="begin"/>
      </w:r>
      <w:r w:rsidRPr="00921EC5">
        <w:rPr>
          <w:rFonts w:ascii="Avenir Book" w:hAnsi="Avenir Book"/>
          <w:smallCaps/>
          <w:color w:val="000000" w:themeColor="text1"/>
          <w:sz w:val="18"/>
          <w:szCs w:val="18"/>
        </w:rPr>
        <w:instrText xml:space="preserve"> NOTEREF _Ref62738477 \h  \* MERGEFORMAT </w:instrText>
      </w:r>
      <w:r w:rsidRPr="00921EC5">
        <w:rPr>
          <w:rFonts w:ascii="Avenir Book" w:hAnsi="Avenir Book"/>
          <w:smallCaps/>
          <w:color w:val="000000" w:themeColor="text1"/>
          <w:sz w:val="18"/>
          <w:szCs w:val="18"/>
        </w:rPr>
      </w:r>
      <w:r w:rsidRPr="00921EC5">
        <w:rPr>
          <w:rFonts w:ascii="Avenir Book" w:hAnsi="Avenir Book"/>
          <w:smallCaps/>
          <w:color w:val="000000" w:themeColor="text1"/>
          <w:sz w:val="18"/>
          <w:szCs w:val="18"/>
        </w:rPr>
        <w:fldChar w:fldCharType="separate"/>
      </w:r>
      <w:r w:rsidRPr="00921EC5">
        <w:rPr>
          <w:rFonts w:ascii="Avenir Book" w:hAnsi="Avenir Book"/>
          <w:smallCaps/>
          <w:color w:val="000000" w:themeColor="text1"/>
          <w:sz w:val="18"/>
          <w:szCs w:val="18"/>
        </w:rPr>
        <w:t>96</w:t>
      </w:r>
      <w:r w:rsidRPr="00921EC5">
        <w:rPr>
          <w:rFonts w:ascii="Avenir Book" w:hAnsi="Avenir Book"/>
          <w:smallCaps/>
          <w:color w:val="000000" w:themeColor="text1"/>
          <w:sz w:val="18"/>
          <w:szCs w:val="18"/>
        </w:rPr>
        <w:fldChar w:fldCharType="end"/>
      </w:r>
      <w:r w:rsidRPr="00921EC5">
        <w:rPr>
          <w:rFonts w:ascii="Avenir Book" w:hAnsi="Avenir Book"/>
          <w:smallCaps/>
          <w:color w:val="000000" w:themeColor="text1"/>
          <w:sz w:val="18"/>
          <w:szCs w:val="18"/>
        </w:rPr>
        <w:t xml:space="preserve">, </w:t>
      </w:r>
      <w:r w:rsidRPr="00921EC5">
        <w:rPr>
          <w:rFonts w:ascii="Avenir Book" w:hAnsi="Avenir Book"/>
          <w:color w:val="000000" w:themeColor="text1"/>
          <w:sz w:val="18"/>
          <w:szCs w:val="18"/>
        </w:rPr>
        <w:t xml:space="preserve">Commentary to Standard </w:t>
      </w:r>
      <w:r w:rsidRPr="00921EC5">
        <w:rPr>
          <w:rFonts w:ascii="Avenir Book" w:hAnsi="Avenir Book"/>
          <w:smallCaps/>
          <w:color w:val="000000" w:themeColor="text1"/>
          <w:sz w:val="18"/>
          <w:szCs w:val="18"/>
        </w:rPr>
        <w:t>13.9</w:t>
      </w:r>
      <w:r w:rsidRPr="00921EC5">
        <w:rPr>
          <w:rFonts w:ascii="Avenir Book" w:hAnsi="Avenir Book"/>
          <w:color w:val="000000" w:themeColor="text1"/>
          <w:sz w:val="18"/>
          <w:szCs w:val="18"/>
        </w:rPr>
        <w:t>).</w:t>
      </w:r>
    </w:p>
  </w:endnote>
  <w:endnote w:id="99">
    <w:p w14:paraId="317190AF" w14:textId="45588384"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Model Rules of Prof'l Conduct R. 1.7 cmt. 1 (2019).</w:t>
      </w:r>
    </w:p>
  </w:endnote>
  <w:endnote w:id="100">
    <w:p w14:paraId="6CC84E22" w14:textId="039DCBDF"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ABA Standing Comm. On Legal Aid and Indigent Defendants,</w:t>
      </w:r>
      <w:r w:rsidRPr="00921EC5">
        <w:rPr>
          <w:rFonts w:ascii="Avenir Book" w:hAnsi="Avenir Book"/>
          <w:i/>
          <w:color w:val="000000" w:themeColor="text1"/>
          <w:sz w:val="18"/>
          <w:szCs w:val="18"/>
        </w:rPr>
        <w:t xml:space="preserve"> 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_Ref62729658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21</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2.</w:t>
      </w:r>
    </w:p>
  </w:endnote>
  <w:endnote w:id="101">
    <w:p w14:paraId="2EEE7563" w14:textId="632556A4"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Nat’l Ass’n of Pub. Defs.,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_Ref62826501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24</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xml:space="preserve">, at Principle </w:t>
      </w:r>
      <w:r w:rsidRPr="00921EC5">
        <w:rPr>
          <w:rFonts w:ascii="Avenir Book" w:hAnsi="Avenir Book"/>
          <w:smallCaps/>
          <w:color w:val="000000" w:themeColor="text1"/>
          <w:sz w:val="18"/>
          <w:szCs w:val="18"/>
        </w:rPr>
        <w:t>2</w:t>
      </w:r>
      <w:r w:rsidRPr="00921EC5">
        <w:rPr>
          <w:rFonts w:ascii="Avenir Book" w:hAnsi="Avenir Book"/>
          <w:color w:val="000000" w:themeColor="text1"/>
          <w:sz w:val="18"/>
          <w:szCs w:val="18"/>
        </w:rPr>
        <w:t xml:space="preserve">. Members of these independent commissions can include: “officials from executive and legislative branches of government, heads of bar associations and law school deans.” In addition, “[a]ll persons chosen for a board or commission should be committed to high quality public defense and members should include one or more persons who previously were represented by a public defense lawyer. Commissions or boards should not include active public defense practitioners, judicial office holders, and active law enforcement officials of any kind such as prosecutors, police, sheriffs, or their staffs.”  </w:t>
      </w:r>
    </w:p>
  </w:endnote>
  <w:endnote w:id="102">
    <w:p w14:paraId="14ED9C1C"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103">
    <w:p w14:paraId="411B924C" w14:textId="6B46CAA2"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104">
    <w:p w14:paraId="1B3FE837" w14:textId="0B880076"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Law Offices of the Public Defender, New Mexico, Greetings from the Land Of Enchantment</w:t>
      </w:r>
      <w:r w:rsidRPr="00921EC5">
        <w:rPr>
          <w:rFonts w:ascii="Avenir Book" w:hAnsi="Avenir Book"/>
          <w:color w:val="000000" w:themeColor="text1"/>
          <w:sz w:val="18"/>
          <w:szCs w:val="18"/>
        </w:rPr>
        <w:t xml:space="preserve"> </w:t>
      </w:r>
      <w:hyperlink r:id="rId16">
        <w:r w:rsidRPr="00921EC5">
          <w:rPr>
            <w:rFonts w:ascii="Avenir Book" w:hAnsi="Avenir Book"/>
            <w:color w:val="000000" w:themeColor="text1"/>
            <w:sz w:val="18"/>
            <w:szCs w:val="18"/>
            <w:u w:val="single"/>
          </w:rPr>
          <w:t>http://www.lopdnm.us/aboutus/</w:t>
        </w:r>
      </w:hyperlink>
    </w:p>
  </w:endnote>
  <w:endnote w:id="105">
    <w:p w14:paraId="7DBC413F" w14:textId="1FB9C5E2"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i/>
          <w:color w:val="000000" w:themeColor="text1"/>
          <w:sz w:val="18"/>
          <w:szCs w:val="18"/>
        </w:rPr>
        <w:t xml:space="preserve"> Id.</w:t>
      </w:r>
    </w:p>
  </w:endnote>
  <w:endnote w:id="106">
    <w:p w14:paraId="35310D5E" w14:textId="10C2DB58"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Const. Proj., Justice Denied,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note</w:t>
      </w:r>
      <w:r w:rsidRPr="00921EC5">
        <w:rPr>
          <w:rFonts w:ascii="Avenir Book" w:hAnsi="Avenir Book"/>
          <w:smallCaps/>
          <w:color w:val="000000" w:themeColor="text1"/>
          <w:sz w:val="18"/>
          <w:szCs w:val="18"/>
        </w:rPr>
        <w:t xml:space="preserve"> 85, </w:t>
      </w:r>
      <w:r w:rsidRPr="00921EC5">
        <w:rPr>
          <w:rFonts w:ascii="Avenir Book" w:hAnsi="Avenir Book"/>
          <w:color w:val="000000" w:themeColor="text1"/>
          <w:sz w:val="18"/>
          <w:szCs w:val="18"/>
        </w:rPr>
        <w:t>at164.</w:t>
      </w:r>
    </w:p>
  </w:endnote>
  <w:endnote w:id="107">
    <w:p w14:paraId="562CEB82" w14:textId="77777777" w:rsidR="00D267E7" w:rsidRPr="00921EC5" w:rsidRDefault="00D267E7" w:rsidP="00921EC5">
      <w:pPr>
        <w:pStyle w:val="EndnoteText"/>
        <w:jc w:val="both"/>
        <w:rPr>
          <w:rFonts w:ascii="Avenir Book" w:hAnsi="Avenir Book"/>
          <w:color w:val="000000" w:themeColor="text1"/>
          <w:sz w:val="18"/>
          <w:szCs w:val="18"/>
          <w:lang w:val="pt-BR"/>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David Carroll, </w:t>
      </w:r>
      <w:r w:rsidRPr="00921EC5">
        <w:rPr>
          <w:rFonts w:ascii="Avenir Book" w:hAnsi="Avenir Book"/>
          <w:i/>
          <w:color w:val="000000" w:themeColor="text1"/>
          <w:sz w:val="18"/>
          <w:szCs w:val="18"/>
        </w:rPr>
        <w:t>Right to Counsel Services in the 50 States: An Indigent Defense Reference Guide for Policymakers</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Sixth Amend. </w:t>
      </w:r>
      <w:r w:rsidRPr="00921EC5">
        <w:rPr>
          <w:rFonts w:ascii="Avenir Book" w:hAnsi="Avenir Book"/>
          <w:smallCaps/>
          <w:color w:val="000000" w:themeColor="text1"/>
          <w:sz w:val="18"/>
          <w:szCs w:val="18"/>
          <w:lang w:val="pt-BR"/>
        </w:rPr>
        <w:t>Ctr.</w:t>
      </w:r>
      <w:r w:rsidRPr="00921EC5">
        <w:rPr>
          <w:rFonts w:ascii="Avenir Book" w:hAnsi="Avenir Book"/>
          <w:color w:val="000000" w:themeColor="text1"/>
          <w:sz w:val="18"/>
          <w:szCs w:val="18"/>
          <w:lang w:val="pt-BR"/>
        </w:rPr>
        <w:t xml:space="preserve"> (Mar. 2017), https://www.in.gov/publicdefender/files/Right%20to%20Counsel%20Services%</w:t>
      </w:r>
    </w:p>
    <w:p w14:paraId="7BB9B20F" w14:textId="1DF0D832" w:rsidR="00D267E7" w:rsidRPr="00921EC5" w:rsidRDefault="00D267E7" w:rsidP="00921EC5">
      <w:pPr>
        <w:pStyle w:val="EndnoteText"/>
        <w:jc w:val="both"/>
        <w:rPr>
          <w:rFonts w:ascii="Avenir Book" w:hAnsi="Avenir Book"/>
          <w:color w:val="000000" w:themeColor="text1"/>
          <w:sz w:val="18"/>
          <w:szCs w:val="18"/>
        </w:rPr>
      </w:pPr>
      <w:r w:rsidRPr="00921EC5">
        <w:rPr>
          <w:rFonts w:ascii="Avenir Book" w:hAnsi="Avenir Book"/>
          <w:color w:val="000000" w:themeColor="text1"/>
          <w:sz w:val="18"/>
          <w:szCs w:val="18"/>
        </w:rPr>
        <w:t>20in%20the%2050%20States.pdf.</w:t>
      </w:r>
    </w:p>
  </w:endnote>
  <w:endnote w:id="108">
    <w:p w14:paraId="3E55FB35" w14:textId="454CFD01"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Nat’l Ass’n of Pub. Defs</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w:t>
      </w:r>
      <w:r w:rsidRPr="00921EC5">
        <w:rPr>
          <w:rFonts w:ascii="Avenir Book" w:hAnsi="Avenir Book"/>
          <w:smallCaps/>
          <w:color w:val="000000" w:themeColor="text1"/>
          <w:sz w:val="18"/>
          <w:szCs w:val="18"/>
        </w:rPr>
        <w:t xml:space="preserve"> </w:t>
      </w:r>
      <w:r w:rsidRPr="00921EC5">
        <w:rPr>
          <w:rFonts w:ascii="Avenir Book" w:hAnsi="Avenir Book"/>
          <w:smallCaps/>
          <w:color w:val="000000" w:themeColor="text1"/>
          <w:sz w:val="18"/>
          <w:szCs w:val="18"/>
        </w:rPr>
        <w:fldChar w:fldCharType="begin"/>
      </w:r>
      <w:r w:rsidRPr="00921EC5">
        <w:rPr>
          <w:rFonts w:ascii="Avenir Book" w:hAnsi="Avenir Book"/>
          <w:smallCaps/>
          <w:color w:val="000000" w:themeColor="text1"/>
          <w:sz w:val="18"/>
          <w:szCs w:val="18"/>
        </w:rPr>
        <w:instrText xml:space="preserve"> NOTEREF _Ref62826501 \h  \* MERGEFORMAT </w:instrText>
      </w:r>
      <w:r w:rsidRPr="00921EC5">
        <w:rPr>
          <w:rFonts w:ascii="Avenir Book" w:hAnsi="Avenir Book"/>
          <w:smallCaps/>
          <w:color w:val="000000" w:themeColor="text1"/>
          <w:sz w:val="18"/>
          <w:szCs w:val="18"/>
        </w:rPr>
      </w:r>
      <w:r w:rsidRPr="00921EC5">
        <w:rPr>
          <w:rFonts w:ascii="Avenir Book" w:hAnsi="Avenir Book"/>
          <w:smallCaps/>
          <w:color w:val="000000" w:themeColor="text1"/>
          <w:sz w:val="18"/>
          <w:szCs w:val="18"/>
        </w:rPr>
        <w:fldChar w:fldCharType="separate"/>
      </w:r>
      <w:r w:rsidRPr="00921EC5">
        <w:rPr>
          <w:rFonts w:ascii="Avenir Book" w:hAnsi="Avenir Book"/>
          <w:smallCaps/>
          <w:color w:val="000000" w:themeColor="text1"/>
          <w:sz w:val="18"/>
          <w:szCs w:val="18"/>
        </w:rPr>
        <w:t>24</w:t>
      </w:r>
      <w:r w:rsidRPr="00921EC5">
        <w:rPr>
          <w:rFonts w:ascii="Avenir Book" w:hAnsi="Avenir Book"/>
          <w:smallCaps/>
          <w:color w:val="000000" w:themeColor="text1"/>
          <w:sz w:val="18"/>
          <w:szCs w:val="18"/>
        </w:rPr>
        <w:fldChar w:fldCharType="end"/>
      </w:r>
      <w:r w:rsidRPr="00921EC5">
        <w:rPr>
          <w:rFonts w:ascii="Avenir Book" w:hAnsi="Avenir Book"/>
          <w:smallCaps/>
          <w:color w:val="000000" w:themeColor="text1"/>
          <w:sz w:val="18"/>
          <w:szCs w:val="18"/>
        </w:rPr>
        <w:t xml:space="preserve">, </w:t>
      </w:r>
      <w:r w:rsidRPr="00921EC5">
        <w:rPr>
          <w:rFonts w:ascii="Avenir Book" w:hAnsi="Avenir Book"/>
          <w:color w:val="000000" w:themeColor="text1"/>
          <w:sz w:val="18"/>
          <w:szCs w:val="18"/>
        </w:rPr>
        <w:t>at Principle</w:t>
      </w:r>
      <w:r w:rsidRPr="00921EC5">
        <w:rPr>
          <w:rFonts w:ascii="Avenir Book" w:hAnsi="Avenir Book"/>
          <w:smallCaps/>
          <w:color w:val="000000" w:themeColor="text1"/>
          <w:sz w:val="18"/>
          <w:szCs w:val="18"/>
        </w:rPr>
        <w:t xml:space="preserve"> 2</w:t>
      </w:r>
      <w:r w:rsidRPr="00921EC5">
        <w:rPr>
          <w:rFonts w:ascii="Avenir Book" w:hAnsi="Avenir Book"/>
          <w:color w:val="000000" w:themeColor="text1"/>
          <w:sz w:val="18"/>
          <w:szCs w:val="18"/>
        </w:rPr>
        <w:t>.</w:t>
      </w:r>
    </w:p>
  </w:endnote>
  <w:endnote w:id="109">
    <w:p w14:paraId="0392F2FB" w14:textId="607B6DCB"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Joe,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_Ref62736251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73</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17.</w:t>
      </w:r>
    </w:p>
  </w:endnote>
  <w:endnote w:id="110">
    <w:p w14:paraId="378028AD" w14:textId="6BFA0230"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Sixth Amendment Ctr., Massachusetts, How the right to counsel is administered and structured,</w:t>
      </w:r>
      <w:r w:rsidRPr="00921EC5">
        <w:rPr>
          <w:rFonts w:ascii="Avenir Book" w:hAnsi="Avenir Book"/>
          <w:color w:val="000000" w:themeColor="text1"/>
          <w:sz w:val="18"/>
          <w:szCs w:val="18"/>
        </w:rPr>
        <w:t xml:space="preserve"> </w:t>
      </w:r>
      <w:hyperlink r:id="rId17" w:history="1">
        <w:r w:rsidRPr="00921EC5">
          <w:rPr>
            <w:rStyle w:val="Hyperlink"/>
            <w:rFonts w:ascii="Avenir Book" w:hAnsi="Avenir Book"/>
            <w:color w:val="000000" w:themeColor="text1"/>
            <w:sz w:val="18"/>
            <w:szCs w:val="18"/>
          </w:rPr>
          <w:t>https://sixthamendment.org/know-your-state/massachusetts/</w:t>
        </w:r>
      </w:hyperlink>
      <w:r w:rsidRPr="00921EC5">
        <w:rPr>
          <w:rFonts w:ascii="Avenir Book" w:hAnsi="Avenir Book"/>
          <w:color w:val="000000" w:themeColor="text1"/>
          <w:sz w:val="18"/>
          <w:szCs w:val="18"/>
        </w:rPr>
        <w:t xml:space="preserve"> (last accessed Nov. 8, 2020). Similarly, Colorado’s public defense system is housed in the judicial branch—both the Colorado Public Defender Commission, for primary services, and the Alternate Defense Commission for conflict representation. </w:t>
      </w:r>
      <w:r w:rsidRPr="00921EC5">
        <w:rPr>
          <w:rFonts w:ascii="Avenir Book" w:hAnsi="Avenir Book"/>
          <w:smallCaps/>
          <w:color w:val="000000" w:themeColor="text1"/>
          <w:sz w:val="18"/>
          <w:szCs w:val="18"/>
        </w:rPr>
        <w:t xml:space="preserve">Sixth Amendment Ctr., Colorado, How the right to counsel is administered and structured, </w:t>
      </w:r>
      <w:hyperlink r:id="rId18" w:history="1">
        <w:r w:rsidRPr="00921EC5">
          <w:rPr>
            <w:rStyle w:val="Hyperlink"/>
            <w:rFonts w:ascii="Avenir Book" w:hAnsi="Avenir Book"/>
            <w:color w:val="000000" w:themeColor="text1"/>
            <w:sz w:val="18"/>
            <w:szCs w:val="18"/>
          </w:rPr>
          <w:t>https://sixthamendment.org/know-your-state/colorado/</w:t>
        </w:r>
      </w:hyperlink>
      <w:r w:rsidRPr="00921EC5">
        <w:rPr>
          <w:rFonts w:ascii="Avenir Book" w:hAnsi="Avenir Book"/>
          <w:color w:val="000000" w:themeColor="text1"/>
          <w:sz w:val="18"/>
          <w:szCs w:val="18"/>
        </w:rPr>
        <w:t xml:space="preserve">  (last accessed Nov. 8, 2020).</w:t>
      </w:r>
    </w:p>
  </w:endnote>
  <w:endnote w:id="111">
    <w:p w14:paraId="4AA5561B" w14:textId="73307EDA"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Sixth Amendment Ctr.,</w:t>
      </w:r>
      <w:r w:rsidRPr="00921EC5">
        <w:rPr>
          <w:rFonts w:ascii="Avenir Book" w:hAnsi="Avenir Book"/>
          <w:color w:val="000000" w:themeColor="text1"/>
          <w:sz w:val="18"/>
          <w:szCs w:val="18"/>
        </w:rPr>
        <w:t xml:space="preserve"> </w:t>
      </w:r>
      <w:r w:rsidRPr="00921EC5">
        <w:rPr>
          <w:rFonts w:ascii="Avenir Book" w:hAnsi="Avenir Book"/>
          <w:iCs/>
          <w:smallCaps/>
          <w:color w:val="000000" w:themeColor="text1"/>
          <w:sz w:val="18"/>
          <w:szCs w:val="18"/>
        </w:rPr>
        <w:t>Alaska,</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How the right to counsel is administered and </w:t>
      </w:r>
      <w:r w:rsidRPr="00921EC5">
        <w:rPr>
          <w:rFonts w:ascii="Avenir Book" w:hAnsi="Avenir Book"/>
          <w:smallCaps/>
          <w:color w:val="000000" w:themeColor="text1"/>
          <w:sz w:val="18"/>
          <w:szCs w:val="18"/>
        </w:rPr>
        <w:t>structured,</w:t>
      </w:r>
      <w:r w:rsidRPr="00921EC5">
        <w:rPr>
          <w:rFonts w:ascii="Avenir Book" w:hAnsi="Avenir Book"/>
          <w:color w:val="000000" w:themeColor="text1"/>
          <w:sz w:val="18"/>
          <w:szCs w:val="18"/>
        </w:rPr>
        <w:t xml:space="preserve">  https://sixthamendment.org/know-your-state/alaska/ (last accessed Nov. 8, 2020). Similarly, Arkansas’s Public Defender Commission sits in the executive branch and decides how to implement public defense services throughout the state. All major funding is provided by the state, with the counties contributing minor funds for office space and utilities. </w:t>
      </w:r>
      <w:r w:rsidRPr="00921EC5">
        <w:rPr>
          <w:rFonts w:ascii="Avenir Book" w:hAnsi="Avenir Book"/>
          <w:smallCaps/>
          <w:color w:val="000000" w:themeColor="text1"/>
          <w:sz w:val="18"/>
          <w:szCs w:val="18"/>
        </w:rPr>
        <w:t>Sixth Amendment Ctr.,</w:t>
      </w:r>
      <w:r w:rsidRPr="00921EC5">
        <w:rPr>
          <w:rFonts w:ascii="Avenir Book" w:hAnsi="Avenir Book"/>
          <w:color w:val="000000" w:themeColor="text1"/>
          <w:sz w:val="18"/>
          <w:szCs w:val="18"/>
        </w:rPr>
        <w:t xml:space="preserve"> </w:t>
      </w:r>
      <w:r w:rsidRPr="00921EC5">
        <w:rPr>
          <w:rFonts w:ascii="Avenir Book" w:hAnsi="Avenir Book"/>
          <w:iCs/>
          <w:smallCaps/>
          <w:color w:val="000000" w:themeColor="text1"/>
          <w:sz w:val="18"/>
          <w:szCs w:val="18"/>
        </w:rPr>
        <w:t>Arkansas</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How the right to counsel is administered and structured,</w:t>
      </w:r>
      <w:r w:rsidRPr="00921EC5">
        <w:rPr>
          <w:rFonts w:ascii="Avenir Book" w:hAnsi="Avenir Book"/>
          <w:color w:val="000000" w:themeColor="text1"/>
          <w:sz w:val="18"/>
          <w:szCs w:val="18"/>
        </w:rPr>
        <w:t xml:space="preserve"> https://sixthamendment.org/know-your-state/arkansas/ (last accessed Nov. 8, 2020).</w:t>
      </w:r>
    </w:p>
  </w:endnote>
  <w:endnote w:id="112">
    <w:p w14:paraId="43E51ACE" w14:textId="74D23E43"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Joe,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_Ref62736251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73</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w:t>
      </w:r>
    </w:p>
  </w:endnote>
  <w:endnote w:id="113">
    <w:p w14:paraId="71829F18" w14:textId="1E83F14A"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Carroll,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_Ref62741146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106</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w:t>
      </w:r>
    </w:p>
  </w:endnote>
  <w:endnote w:id="114">
    <w:p w14:paraId="17A497DE" w14:textId="4635A98A"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115">
    <w:p w14:paraId="2062DEE4" w14:textId="34389749"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Const. Proj., Justice Denied,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note 85, at</w:t>
      </w:r>
      <w:r w:rsidRPr="00921EC5">
        <w:rPr>
          <w:rFonts w:ascii="Avenir Book" w:hAnsi="Avenir Book"/>
          <w:smallCaps/>
          <w:color w:val="000000" w:themeColor="text1"/>
          <w:sz w:val="18"/>
          <w:szCs w:val="18"/>
        </w:rPr>
        <w:t xml:space="preserve"> </w:t>
      </w:r>
      <w:r w:rsidRPr="00921EC5">
        <w:rPr>
          <w:rFonts w:ascii="Avenir Book" w:hAnsi="Avenir Book"/>
          <w:color w:val="000000" w:themeColor="text1"/>
          <w:sz w:val="18"/>
          <w:szCs w:val="18"/>
        </w:rPr>
        <w:t>170.</w:t>
      </w:r>
    </w:p>
  </w:endnote>
  <w:endnote w:id="116">
    <w:p w14:paraId="0C0D8FFF" w14:textId="4BD932A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Carrol,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_Ref62741146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106</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w:t>
      </w:r>
    </w:p>
  </w:endnote>
  <w:endnote w:id="117">
    <w:p w14:paraId="7F59E1D4" w14:textId="09D4A7BA"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Sixth Amendment Ctr., Texas, The right to counsel in Texas,</w:t>
      </w:r>
      <w:r w:rsidRPr="00921EC5">
        <w:rPr>
          <w:rFonts w:ascii="Avenir Book" w:hAnsi="Avenir Book"/>
          <w:color w:val="000000" w:themeColor="text1"/>
          <w:sz w:val="18"/>
          <w:szCs w:val="18"/>
        </w:rPr>
        <w:t xml:space="preserve"> </w:t>
      </w:r>
      <w:hyperlink r:id="rId19">
        <w:r w:rsidRPr="00921EC5">
          <w:rPr>
            <w:rFonts w:ascii="Avenir Book" w:hAnsi="Avenir Book"/>
            <w:color w:val="000000" w:themeColor="text1"/>
            <w:sz w:val="18"/>
            <w:szCs w:val="18"/>
            <w:u w:val="single"/>
          </w:rPr>
          <w:t>https://sixthamendment.org/know-your-state/texas/</w:t>
        </w:r>
      </w:hyperlink>
      <w:r w:rsidRPr="00921EC5">
        <w:rPr>
          <w:rFonts w:ascii="Avenir Book" w:hAnsi="Avenir Book"/>
          <w:color w:val="000000" w:themeColor="text1"/>
          <w:sz w:val="18"/>
          <w:szCs w:val="18"/>
          <w:u w:val="single"/>
        </w:rPr>
        <w:t>.</w:t>
      </w:r>
    </w:p>
  </w:endnote>
  <w:endnote w:id="118">
    <w:p w14:paraId="36398B0F" w14:textId="0AE38579"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119">
    <w:p w14:paraId="5898A0D4" w14:textId="6C4584D9"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Const. Proj., Justice Denied,</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note 85</w:t>
      </w:r>
      <w:r w:rsidRPr="00921EC5">
        <w:rPr>
          <w:rFonts w:ascii="Avenir Book" w:hAnsi="Avenir Book"/>
          <w:smallCaps/>
          <w:color w:val="000000" w:themeColor="text1"/>
          <w:sz w:val="18"/>
          <w:szCs w:val="18"/>
        </w:rPr>
        <w:t xml:space="preserve">, </w:t>
      </w:r>
      <w:r w:rsidRPr="00921EC5">
        <w:rPr>
          <w:rFonts w:ascii="Avenir Book" w:hAnsi="Avenir Book"/>
          <w:color w:val="000000" w:themeColor="text1"/>
          <w:sz w:val="18"/>
          <w:szCs w:val="18"/>
        </w:rPr>
        <w:t>at 172.</w:t>
      </w:r>
    </w:p>
  </w:endnote>
  <w:endnote w:id="120">
    <w:p w14:paraId="3AA3E883" w14:textId="70440552"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Robert C. Boruchowitz, The Right to Counsel in Wayne County, Michigan: Evaluation of the State Defender Office of the Metropolitan Justice Center of Southeast Michigan</w:t>
      </w:r>
      <w:r w:rsidRPr="00921EC5">
        <w:rPr>
          <w:rFonts w:ascii="Avenir Book" w:hAnsi="Avenir Book"/>
          <w:color w:val="000000" w:themeColor="text1"/>
          <w:sz w:val="18"/>
          <w:szCs w:val="18"/>
        </w:rPr>
        <w:t xml:space="preserve"> 4 (2018) (the Michigan Indigent Defense Commission, a fifteen-member executive agency, promulgates standards for effective representation and awards funding grants to counties for compliance with its standards.)</w:t>
      </w:r>
    </w:p>
  </w:endnote>
  <w:endnote w:id="121">
    <w:p w14:paraId="3D1BBC3C" w14:textId="0D3BA192"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Const. Proj., Justice Denied,</w:t>
      </w:r>
      <w:r w:rsidRPr="00921EC5">
        <w:rPr>
          <w:rFonts w:ascii="Avenir Book" w:hAnsi="Avenir Book"/>
          <w:i/>
          <w:color w:val="000000" w:themeColor="text1"/>
          <w:sz w:val="18"/>
          <w:szCs w:val="18"/>
        </w:rPr>
        <w:t xml:space="preserve"> supra </w:t>
      </w:r>
      <w:r w:rsidRPr="00921EC5">
        <w:rPr>
          <w:rFonts w:ascii="Avenir Book" w:hAnsi="Avenir Book"/>
          <w:color w:val="000000" w:themeColor="text1"/>
          <w:sz w:val="18"/>
          <w:szCs w:val="18"/>
        </w:rPr>
        <w:t>note 85</w:t>
      </w:r>
      <w:r w:rsidRPr="00921EC5">
        <w:rPr>
          <w:rFonts w:ascii="Avenir Book" w:hAnsi="Avenir Book"/>
          <w:smallCaps/>
          <w:color w:val="000000" w:themeColor="text1"/>
          <w:sz w:val="18"/>
          <w:szCs w:val="18"/>
        </w:rPr>
        <w:t xml:space="preserve">, </w:t>
      </w:r>
      <w:r w:rsidRPr="00921EC5">
        <w:rPr>
          <w:rFonts w:ascii="Avenir Book" w:hAnsi="Avenir Book"/>
          <w:color w:val="000000" w:themeColor="text1"/>
          <w:sz w:val="18"/>
          <w:szCs w:val="18"/>
        </w:rPr>
        <w:t>at173.</w:t>
      </w:r>
    </w:p>
  </w:endnote>
  <w:endnote w:id="122">
    <w:p w14:paraId="6A937EBC" w14:textId="0963A573"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Carroll,</w:t>
      </w:r>
      <w:r w:rsidRPr="00921EC5">
        <w:rPr>
          <w:rFonts w:ascii="Avenir Book" w:hAnsi="Avenir Book"/>
          <w:i/>
          <w:color w:val="000000" w:themeColor="text1"/>
          <w:sz w:val="18"/>
          <w:szCs w:val="18"/>
        </w:rPr>
        <w:t xml:space="preserve"> 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_Ref62741146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106</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w:t>
      </w:r>
    </w:p>
  </w:endnote>
  <w:endnote w:id="123">
    <w:p w14:paraId="3771E95C" w14:textId="4E6BB98A"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Sixth Amendment Ctr.,</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Arizona, How the right to counsel is administered and structured,</w:t>
      </w:r>
      <w:r w:rsidRPr="00921EC5">
        <w:rPr>
          <w:rFonts w:ascii="Avenir Book" w:hAnsi="Avenir Book"/>
          <w:color w:val="000000" w:themeColor="text1"/>
          <w:sz w:val="18"/>
          <w:szCs w:val="18"/>
        </w:rPr>
        <w:t xml:space="preserve"> </w:t>
      </w:r>
      <w:hyperlink r:id="rId20" w:history="1">
        <w:r w:rsidRPr="00921EC5">
          <w:rPr>
            <w:rStyle w:val="Hyperlink"/>
            <w:rFonts w:ascii="Avenir Book" w:hAnsi="Avenir Book"/>
            <w:color w:val="000000" w:themeColor="text1"/>
            <w:sz w:val="18"/>
            <w:szCs w:val="18"/>
          </w:rPr>
          <w:t>https://sixthamendment.org/know-your-state/arizona/</w:t>
        </w:r>
      </w:hyperlink>
      <w:r w:rsidRPr="00921EC5">
        <w:rPr>
          <w:rFonts w:ascii="Avenir Book" w:hAnsi="Avenir Book"/>
          <w:color w:val="000000" w:themeColor="text1"/>
          <w:sz w:val="18"/>
          <w:szCs w:val="18"/>
        </w:rPr>
        <w:t xml:space="preserve"> (last accessed Nov. 8, 2020).</w:t>
      </w:r>
    </w:p>
  </w:endnote>
  <w:endnote w:id="124">
    <w:p w14:paraId="281239F4" w14:textId="23FA483C" w:rsidR="00D267E7" w:rsidRPr="00921EC5" w:rsidRDefault="00D267E7" w:rsidP="00921EC5">
      <w:pPr>
        <w:pStyle w:val="EndnoteText"/>
        <w:jc w:val="both"/>
        <w:rPr>
          <w:rFonts w:ascii="Avenir Book" w:hAnsi="Avenir Book"/>
          <w:i/>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smallCaps/>
          <w:color w:val="000000" w:themeColor="text1"/>
          <w:sz w:val="18"/>
          <w:szCs w:val="18"/>
        </w:rPr>
        <w:t xml:space="preserve">Const. Proj., Justice Denied,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note 85</w:t>
      </w:r>
      <w:r w:rsidRPr="00921EC5">
        <w:rPr>
          <w:rFonts w:ascii="Avenir Book" w:hAnsi="Avenir Book"/>
          <w:smallCaps/>
          <w:color w:val="000000" w:themeColor="text1"/>
          <w:sz w:val="18"/>
          <w:szCs w:val="18"/>
        </w:rPr>
        <w:t xml:space="preserve">, </w:t>
      </w:r>
      <w:r w:rsidRPr="00921EC5">
        <w:rPr>
          <w:rFonts w:ascii="Avenir Book" w:hAnsi="Avenir Book"/>
          <w:color w:val="000000" w:themeColor="text1"/>
          <w:sz w:val="18"/>
          <w:szCs w:val="18"/>
        </w:rPr>
        <w:t>at 169.</w:t>
      </w:r>
    </w:p>
  </w:endnote>
  <w:endnote w:id="125">
    <w:p w14:paraId="5E45FCB6" w14:textId="5C4428FC"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Nat’l Ass’n of Pub. Defs</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note</w:t>
      </w:r>
      <w:r w:rsidRPr="00921EC5">
        <w:rPr>
          <w:rFonts w:ascii="Avenir Book" w:hAnsi="Avenir Book"/>
          <w:smallCaps/>
          <w:color w:val="000000" w:themeColor="text1"/>
          <w:sz w:val="18"/>
          <w:szCs w:val="18"/>
        </w:rPr>
        <w:t xml:space="preserve"> </w:t>
      </w:r>
      <w:r w:rsidRPr="00921EC5">
        <w:rPr>
          <w:rFonts w:ascii="Avenir Book" w:hAnsi="Avenir Book"/>
          <w:smallCaps/>
          <w:color w:val="000000" w:themeColor="text1"/>
          <w:sz w:val="18"/>
          <w:szCs w:val="18"/>
        </w:rPr>
        <w:fldChar w:fldCharType="begin"/>
      </w:r>
      <w:r w:rsidRPr="00921EC5">
        <w:rPr>
          <w:rFonts w:ascii="Avenir Book" w:hAnsi="Avenir Book"/>
          <w:smallCaps/>
          <w:color w:val="000000" w:themeColor="text1"/>
          <w:sz w:val="18"/>
          <w:szCs w:val="18"/>
        </w:rPr>
        <w:instrText xml:space="preserve"> NOTEREF _Ref62826501 \h  \* MERGEFORMAT </w:instrText>
      </w:r>
      <w:r w:rsidRPr="00921EC5">
        <w:rPr>
          <w:rFonts w:ascii="Avenir Book" w:hAnsi="Avenir Book"/>
          <w:smallCaps/>
          <w:color w:val="000000" w:themeColor="text1"/>
          <w:sz w:val="18"/>
          <w:szCs w:val="18"/>
        </w:rPr>
      </w:r>
      <w:r w:rsidRPr="00921EC5">
        <w:rPr>
          <w:rFonts w:ascii="Avenir Book" w:hAnsi="Avenir Book"/>
          <w:smallCaps/>
          <w:color w:val="000000" w:themeColor="text1"/>
          <w:sz w:val="18"/>
          <w:szCs w:val="18"/>
        </w:rPr>
        <w:fldChar w:fldCharType="separate"/>
      </w:r>
      <w:r w:rsidRPr="00921EC5">
        <w:rPr>
          <w:rFonts w:ascii="Avenir Book" w:hAnsi="Avenir Book"/>
          <w:smallCaps/>
          <w:color w:val="000000" w:themeColor="text1"/>
          <w:sz w:val="18"/>
          <w:szCs w:val="18"/>
        </w:rPr>
        <w:t>24</w:t>
      </w:r>
      <w:r w:rsidRPr="00921EC5">
        <w:rPr>
          <w:rFonts w:ascii="Avenir Book" w:hAnsi="Avenir Book"/>
          <w:smallCaps/>
          <w:color w:val="000000" w:themeColor="text1"/>
          <w:sz w:val="18"/>
          <w:szCs w:val="18"/>
        </w:rPr>
        <w:fldChar w:fldCharType="end"/>
      </w:r>
      <w:r w:rsidRPr="00921EC5">
        <w:rPr>
          <w:rFonts w:ascii="Avenir Book" w:hAnsi="Avenir Book"/>
          <w:smallCaps/>
          <w:color w:val="000000" w:themeColor="text1"/>
          <w:sz w:val="18"/>
          <w:szCs w:val="18"/>
        </w:rPr>
        <w:t xml:space="preserve">, </w:t>
      </w:r>
      <w:r w:rsidRPr="00921EC5">
        <w:rPr>
          <w:rFonts w:ascii="Avenir Book" w:hAnsi="Avenir Book"/>
          <w:color w:val="000000" w:themeColor="text1"/>
          <w:sz w:val="18"/>
          <w:szCs w:val="18"/>
        </w:rPr>
        <w:t>at Principle 2.</w:t>
      </w:r>
    </w:p>
  </w:endnote>
  <w:endnote w:id="126">
    <w:p w14:paraId="3DFCBF5D" w14:textId="5A8CF6A8"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Carroll,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_Ref62741146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106</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w:t>
      </w:r>
    </w:p>
  </w:endnote>
  <w:endnote w:id="127">
    <w:p w14:paraId="2446262F" w14:textId="27A9BC59"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Nat’l Ass’n of Pub. Defs</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Policy Statement on Independence,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_Ref62729886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15</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2.</w:t>
      </w:r>
    </w:p>
  </w:endnote>
  <w:endnote w:id="128">
    <w:p w14:paraId="323392EC" w14:textId="6D3052D3"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Const. Proj., Justice Denied,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note 85</w:t>
      </w:r>
      <w:r w:rsidRPr="00921EC5">
        <w:rPr>
          <w:rFonts w:ascii="Avenir Book" w:hAnsi="Avenir Book"/>
          <w:smallCaps/>
          <w:color w:val="000000" w:themeColor="text1"/>
          <w:sz w:val="18"/>
          <w:szCs w:val="18"/>
        </w:rPr>
        <w:t xml:space="preserve">, </w:t>
      </w:r>
      <w:r w:rsidRPr="00921EC5">
        <w:rPr>
          <w:rFonts w:ascii="Avenir Book" w:hAnsi="Avenir Book"/>
          <w:color w:val="000000" w:themeColor="text1"/>
          <w:sz w:val="18"/>
          <w:szCs w:val="18"/>
        </w:rPr>
        <w:t>at 148.</w:t>
      </w:r>
    </w:p>
  </w:endnote>
  <w:endnote w:id="129">
    <w:p w14:paraId="327121B8"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Carroll,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_Ref62741146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106</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w:t>
      </w:r>
    </w:p>
  </w:endnote>
  <w:endnote w:id="130">
    <w:p w14:paraId="1D840AEB" w14:textId="6261EB1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Nat’l Ass’n of Pub. Defs</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Policy Statement on Independence,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_Ref62729886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15</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xml:space="preserve"> at 10.</w:t>
      </w:r>
    </w:p>
  </w:endnote>
  <w:endnote w:id="131">
    <w:p w14:paraId="6DA3AA5E" w14:textId="6FB89103"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Id. </w:t>
      </w:r>
      <w:r w:rsidRPr="00921EC5">
        <w:rPr>
          <w:rFonts w:ascii="Avenir Book" w:hAnsi="Avenir Book"/>
          <w:iCs/>
          <w:color w:val="000000" w:themeColor="text1"/>
          <w:sz w:val="18"/>
          <w:szCs w:val="18"/>
        </w:rPr>
        <w:t>at</w:t>
      </w:r>
      <w:r w:rsidRPr="00921EC5">
        <w:rPr>
          <w:rFonts w:ascii="Avenir Book" w:hAnsi="Avenir Book"/>
          <w:color w:val="000000" w:themeColor="text1"/>
          <w:sz w:val="18"/>
          <w:szCs w:val="18"/>
        </w:rPr>
        <w:t xml:space="preserve"> 14.</w:t>
      </w:r>
    </w:p>
  </w:endnote>
  <w:endnote w:id="132">
    <w:p w14:paraId="3ACBBF8D" w14:textId="2FAA875F"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Const. Proj., Justice Denied,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note 85, at</w:t>
      </w:r>
      <w:r w:rsidRPr="00921EC5">
        <w:rPr>
          <w:rFonts w:ascii="Avenir Book" w:hAnsi="Avenir Book"/>
          <w:smallCaps/>
          <w:color w:val="000000" w:themeColor="text1"/>
          <w:sz w:val="18"/>
          <w:szCs w:val="18"/>
        </w:rPr>
        <w:t xml:space="preserve"> </w:t>
      </w:r>
      <w:r w:rsidRPr="00921EC5">
        <w:rPr>
          <w:rFonts w:ascii="Avenir Book" w:hAnsi="Avenir Book"/>
          <w:color w:val="000000" w:themeColor="text1"/>
          <w:sz w:val="18"/>
          <w:szCs w:val="18"/>
        </w:rPr>
        <w:t>174.</w:t>
      </w:r>
    </w:p>
  </w:endnote>
  <w:endnote w:id="133">
    <w:p w14:paraId="3580512D" w14:textId="20152A02"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Id. </w:t>
      </w:r>
      <w:r w:rsidRPr="00921EC5">
        <w:rPr>
          <w:rFonts w:ascii="Avenir Book" w:hAnsi="Avenir Book"/>
          <w:iCs/>
          <w:color w:val="000000" w:themeColor="text1"/>
          <w:sz w:val="18"/>
          <w:szCs w:val="18"/>
        </w:rPr>
        <w:t xml:space="preserve">at </w:t>
      </w:r>
      <w:r w:rsidRPr="00921EC5">
        <w:rPr>
          <w:rFonts w:ascii="Avenir Book" w:hAnsi="Avenir Book"/>
          <w:color w:val="000000" w:themeColor="text1"/>
          <w:sz w:val="18"/>
          <w:szCs w:val="18"/>
        </w:rPr>
        <w:t>160.</w:t>
      </w:r>
    </w:p>
  </w:endnote>
  <w:endnote w:id="134">
    <w:p w14:paraId="16B6F3BB" w14:textId="14D2F75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Id. </w:t>
      </w:r>
      <w:r w:rsidRPr="00921EC5">
        <w:rPr>
          <w:rFonts w:ascii="Avenir Book" w:hAnsi="Avenir Book"/>
          <w:iCs/>
          <w:color w:val="000000" w:themeColor="text1"/>
          <w:sz w:val="18"/>
          <w:szCs w:val="18"/>
        </w:rPr>
        <w:t xml:space="preserve">at </w:t>
      </w:r>
      <w:r w:rsidRPr="00921EC5">
        <w:rPr>
          <w:rFonts w:ascii="Avenir Book" w:hAnsi="Avenir Book"/>
          <w:color w:val="000000" w:themeColor="text1"/>
          <w:sz w:val="18"/>
          <w:szCs w:val="18"/>
        </w:rPr>
        <w:t>158.</w:t>
      </w:r>
    </w:p>
  </w:endnote>
  <w:endnote w:id="135">
    <w:p w14:paraId="03B1123F" w14:textId="174F7000"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Id. </w:t>
      </w:r>
      <w:r w:rsidRPr="00921EC5">
        <w:rPr>
          <w:rFonts w:ascii="Avenir Book" w:hAnsi="Avenir Book"/>
          <w:iCs/>
          <w:color w:val="000000" w:themeColor="text1"/>
          <w:sz w:val="18"/>
          <w:szCs w:val="18"/>
        </w:rPr>
        <w:t>at</w:t>
      </w:r>
      <w:r w:rsidRPr="00921EC5">
        <w:rPr>
          <w:rFonts w:ascii="Avenir Book" w:hAnsi="Avenir Book"/>
          <w:color w:val="000000" w:themeColor="text1"/>
          <w:sz w:val="18"/>
          <w:szCs w:val="18"/>
        </w:rPr>
        <w:t xml:space="preserve"> 159.</w:t>
      </w:r>
    </w:p>
  </w:endnote>
  <w:endnote w:id="136">
    <w:p w14:paraId="3B15AF0A" w14:textId="3C0D8C0A"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Sixth Amendment Ctr.,</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Oregon, The right to counsel in Oregon</w:t>
      </w:r>
      <w:r w:rsidRPr="00921EC5">
        <w:rPr>
          <w:rFonts w:ascii="Avenir Book" w:hAnsi="Avenir Book"/>
          <w:color w:val="000000" w:themeColor="text1"/>
          <w:sz w:val="18"/>
          <w:szCs w:val="18"/>
        </w:rPr>
        <w:t xml:space="preserve">, </w:t>
      </w:r>
      <w:hyperlink r:id="rId21">
        <w:r w:rsidRPr="00921EC5">
          <w:rPr>
            <w:rFonts w:ascii="Avenir Book" w:hAnsi="Avenir Book"/>
            <w:color w:val="000000" w:themeColor="text1"/>
            <w:sz w:val="18"/>
            <w:szCs w:val="18"/>
            <w:u w:val="single"/>
          </w:rPr>
          <w:t>https://sixthamendment.org/know-your-state/oregon/</w:t>
        </w:r>
      </w:hyperlink>
    </w:p>
  </w:endnote>
  <w:endnote w:id="137">
    <w:p w14:paraId="49E8D64B" w14:textId="57D54908"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138">
    <w:p w14:paraId="0471D5EA" w14:textId="68394BA3"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139">
    <w:p w14:paraId="43C4CFC6" w14:textId="3EBF8092"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Cs/>
          <w:smallCaps/>
          <w:color w:val="000000" w:themeColor="text1"/>
          <w:sz w:val="18"/>
          <w:szCs w:val="18"/>
        </w:rPr>
        <w:t>Understanding Political Interference with the Defense Function – ABA Principle 1</w:t>
      </w:r>
      <w:r w:rsidRPr="00921EC5">
        <w:rPr>
          <w:rFonts w:ascii="Avenir Book" w:hAnsi="Avenir Book"/>
          <w:smallCaps/>
          <w:color w:val="000000" w:themeColor="text1"/>
          <w:sz w:val="18"/>
          <w:szCs w:val="18"/>
        </w:rPr>
        <w:t>, Sixth Amend. Ctr.,</w:t>
      </w:r>
      <w:r w:rsidRPr="00921EC5">
        <w:rPr>
          <w:rFonts w:ascii="Avenir Book" w:hAnsi="Avenir Book"/>
          <w:color w:val="000000" w:themeColor="text1"/>
          <w:sz w:val="18"/>
          <w:szCs w:val="18"/>
        </w:rPr>
        <w:t xml:space="preserve"> </w:t>
      </w:r>
      <w:hyperlink r:id="rId22" w:history="1">
        <w:r w:rsidRPr="00921EC5">
          <w:rPr>
            <w:rStyle w:val="Hyperlink"/>
            <w:rFonts w:ascii="Avenir Book" w:hAnsi="Avenir Book"/>
            <w:color w:val="000000" w:themeColor="text1"/>
            <w:sz w:val="18"/>
            <w:szCs w:val="18"/>
          </w:rPr>
          <w:t>https://sixthamendment.org/the-right-to-counsel/national-standards-for-providing-the-right-to-counsel/the-preeminent-need-for-independence-of-the-defense-function-aba-principle-1/#</w:t>
        </w:r>
      </w:hyperlink>
      <w:r w:rsidRPr="00921EC5">
        <w:rPr>
          <w:rFonts w:ascii="Avenir Book" w:hAnsi="Avenir Book"/>
          <w:color w:val="000000" w:themeColor="text1"/>
          <w:sz w:val="18"/>
          <w:szCs w:val="18"/>
        </w:rPr>
        <w:t xml:space="preserve">  (last accessed Jan. 25, 2020).</w:t>
      </w:r>
    </w:p>
  </w:endnote>
  <w:endnote w:id="140">
    <w:p w14:paraId="03F6A5F3" w14:textId="42747B91"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Carroll,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_Ref62741146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106</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129. The ABA Principles cite to the National Study Commission on Defense Services’ (NSC) Guidelines for Legal Defense Systems in the United States (1976). The Guidelines were created in consultation with the United States Department of Justice (DOJ) under a DOJ Law Enforcement Assistance Administration (LEAA) grant. NSC Guideline 2.10 (The Defender Commission) states in part: “A special Defender Commission should be established for every defender system, whether public or private. The Commission should consist of from nine to thirteen members, depending upon the size of the community, the number of identifiable factions or components of the client population, and judgments as to which non-client groups should be represented. Commission members should be selected under the following criteria: The primary consideration in establishing the composition of the Commission should be ensuring the independence of the Defender Director. (a) The members of the Commission should represent a diversity of factions in order to ensure insulation from partisan politics. (b) No single branch of government should have a majority of votes on the Commission.”</w:t>
      </w:r>
    </w:p>
  </w:endnote>
  <w:endnote w:id="141">
    <w:p w14:paraId="28490743" w14:textId="7CEC74CA"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Nat’l Ass’n for Pub. Defs</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Policy statement of Independence,</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_Ref62729886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15</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13.</w:t>
      </w:r>
    </w:p>
  </w:endnote>
  <w:endnote w:id="142">
    <w:p w14:paraId="14A860B8" w14:textId="74251662"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r w:rsidRPr="00921EC5">
        <w:rPr>
          <w:rFonts w:ascii="Avenir Book" w:hAnsi="Avenir Book"/>
          <w:color w:val="000000" w:themeColor="text1"/>
          <w:sz w:val="18"/>
          <w:szCs w:val="18"/>
        </w:rPr>
        <w:t xml:space="preserve"> at 10 (citing </w:t>
      </w:r>
      <w:r w:rsidRPr="00921EC5">
        <w:rPr>
          <w:rFonts w:ascii="Avenir Book" w:hAnsi="Avenir Book"/>
          <w:smallCaps/>
          <w:color w:val="000000" w:themeColor="text1"/>
          <w:sz w:val="18"/>
          <w:szCs w:val="18"/>
        </w:rPr>
        <w:t>ABA Standards for Criminal Justice,</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_Ref62738477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96</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Standard 5-1.3, which states: “Members of governing boards should not include prosecutors and judges. This restriction is necessary in order to remove any implication that defenders are subject to the control of those who appear as their adversaries or before whom they must appear in the representation of defendants, except for the general disciplinary supervision which judges maintain over all members of the bar.”)</w:t>
      </w:r>
    </w:p>
  </w:endnote>
  <w:endnote w:id="143">
    <w:p w14:paraId="1A934258" w14:textId="04E6C9D2"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Const. Proj., Justice Denied,</w:t>
      </w:r>
      <w:r w:rsidRPr="00921EC5">
        <w:rPr>
          <w:rFonts w:ascii="Avenir Book" w:hAnsi="Avenir Book"/>
          <w:i/>
          <w:color w:val="000000" w:themeColor="text1"/>
          <w:sz w:val="18"/>
          <w:szCs w:val="18"/>
        </w:rPr>
        <w:t xml:space="preserve"> supra </w:t>
      </w:r>
      <w:r w:rsidRPr="00921EC5">
        <w:rPr>
          <w:rFonts w:ascii="Avenir Book" w:hAnsi="Avenir Book"/>
          <w:color w:val="000000" w:themeColor="text1"/>
          <w:sz w:val="18"/>
          <w:szCs w:val="18"/>
        </w:rPr>
        <w:t>note 85, at 159.</w:t>
      </w:r>
    </w:p>
  </w:endnote>
  <w:endnote w:id="144">
    <w:p w14:paraId="1E64F918" w14:textId="175DE3C8" w:rsidR="00D267E7" w:rsidRPr="00921EC5" w:rsidRDefault="00D267E7" w:rsidP="00921EC5">
      <w:pPr>
        <w:pStyle w:val="EndnoteText"/>
        <w:jc w:val="both"/>
        <w:rPr>
          <w:rFonts w:ascii="Avenir Book" w:hAnsi="Avenir Book"/>
          <w:smallCaps/>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Univ. Pa. Quattrone Ctr., Recommendations for Montgomery County to Achieve Greater Independence in Indigent Defense Provision (2020).</w:t>
      </w:r>
    </w:p>
  </w:endnote>
  <w:endnote w:id="145">
    <w:p w14:paraId="1010370A" w14:textId="70E1D6C0"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Nat’l Ass’n for Pub. Defs</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Policy statement of Independence,</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_Ref62729886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15</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xml:space="preserve">, at 8 (citing </w:t>
      </w:r>
      <w:r w:rsidRPr="00921EC5">
        <w:rPr>
          <w:rFonts w:ascii="Avenir Book" w:hAnsi="Avenir Book"/>
          <w:smallCaps/>
          <w:color w:val="000000" w:themeColor="text1"/>
          <w:sz w:val="18"/>
          <w:szCs w:val="18"/>
        </w:rPr>
        <w:t>National Study Commission on Defense Services</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_Ref62738477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96</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Guideline 2.10).</w:t>
      </w:r>
    </w:p>
  </w:endnote>
  <w:endnote w:id="146">
    <w:p w14:paraId="591C39A5" w14:textId="373CD6EC"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See</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National Study Commission on Defense Services</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_Ref62738477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96</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Guideline 2.10 (The Defender Commission) states that “a special Defender Commission should be established for every defender system, whether public or private,” and that the primary consideration of appointing authorities should be “ensuring the independence of the Defender Director.” NSC Guideline 2.11 states that the “primary function of the Defender Commission should be to select the State Defender Director.”</w:t>
      </w:r>
    </w:p>
  </w:endnote>
  <w:endnote w:id="147">
    <w:p w14:paraId="2ADC65EE" w14:textId="03D08624"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Nat’l Ass’n for Pub. Defs</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Policy statement of Independence,</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_Ref62729886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15</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9.</w:t>
      </w:r>
    </w:p>
  </w:endnote>
  <w:endnote w:id="148">
    <w:p w14:paraId="643F2005" w14:textId="595C2096"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r w:rsidRPr="00921EC5">
        <w:rPr>
          <w:rFonts w:ascii="Avenir Book" w:hAnsi="Avenir Book"/>
          <w:color w:val="000000" w:themeColor="text1"/>
          <w:sz w:val="18"/>
          <w:szCs w:val="18"/>
        </w:rPr>
        <w:t xml:space="preserve"> (citing ABA </w:t>
      </w:r>
      <w:r w:rsidRPr="00921EC5">
        <w:rPr>
          <w:rFonts w:ascii="Avenir Book" w:hAnsi="Avenir Book"/>
          <w:smallCaps/>
          <w:color w:val="000000" w:themeColor="text1"/>
          <w:sz w:val="18"/>
          <w:szCs w:val="18"/>
        </w:rPr>
        <w:t>Standards for Criminal Justice,</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_Ref62738477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96</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Standards 5-4.1, Chief Defender and Staff.)</w:t>
      </w:r>
    </w:p>
  </w:endnote>
  <w:endnote w:id="149">
    <w:p w14:paraId="64BC415F" w14:textId="58E3AA51"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150">
    <w:p w14:paraId="2524C662" w14:textId="29F23755"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151">
    <w:p w14:paraId="0EDB7486" w14:textId="5A7AEA8A"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ABA Standards for Criminal Justice,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_Ref62738477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96</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54.</w:t>
      </w:r>
    </w:p>
  </w:endnote>
  <w:endnote w:id="152">
    <w:p w14:paraId="5B25C7AA" w14:textId="421A2C08" w:rsidR="00D267E7" w:rsidRPr="00921EC5" w:rsidRDefault="00D267E7" w:rsidP="00921EC5">
      <w:pPr>
        <w:pStyle w:val="EndnoteText"/>
        <w:jc w:val="both"/>
        <w:rPr>
          <w:rFonts w:ascii="Avenir Book" w:hAnsi="Avenir Book"/>
          <w:i/>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smallCaps/>
          <w:color w:val="000000" w:themeColor="text1"/>
          <w:sz w:val="18"/>
          <w:szCs w:val="18"/>
        </w:rPr>
        <w:t>Nat’l Ass’n Pub. Defs., Policy statement of Independence,</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_Ref62729886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15</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w:t>
      </w:r>
    </w:p>
  </w:endnote>
  <w:endnote w:id="153">
    <w:p w14:paraId="59D86557" w14:textId="1CBA315C"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65 Pa. Stat. and Cons. Stat. Ann. § 703 (West).</w:t>
      </w:r>
    </w:p>
  </w:endnote>
  <w:endnote w:id="154">
    <w:p w14:paraId="5DB490FF" w14:textId="0E4B54AE"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color w:val="000000" w:themeColor="text1"/>
          <w:sz w:val="18"/>
          <w:szCs w:val="18"/>
          <w:u w:val="single"/>
        </w:rPr>
        <w:t>FOP Lodge No. 5 v. Phila</w:t>
      </w:r>
      <w:r w:rsidRPr="00921EC5">
        <w:rPr>
          <w:rFonts w:ascii="Avenir Book" w:hAnsi="Avenir Book"/>
          <w:color w:val="000000" w:themeColor="text1"/>
          <w:sz w:val="18"/>
          <w:szCs w:val="18"/>
        </w:rPr>
        <w:t>., 500 A.2d 900, 905 (</w:t>
      </w:r>
      <w:r w:rsidRPr="00921EC5">
        <w:rPr>
          <w:rFonts w:ascii="Avenir Book" w:hAnsi="Avenir Book"/>
          <w:color w:val="000000" w:themeColor="text1"/>
          <w:sz w:val="18"/>
          <w:szCs w:val="18"/>
        </w:rPr>
        <w:t>1985)(holding that a commission appointed to investigate the MOVE incident was not subject to the Sunshine Act because the commission was a limited-purpose advisory board without authority to make binding recommendations).</w:t>
      </w:r>
    </w:p>
  </w:endnote>
  <w:endnote w:id="155">
    <w:p w14:paraId="6481F70D" w14:textId="7AFC509A"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65 Pa.C.S. §§ 707-708.</w:t>
      </w:r>
    </w:p>
  </w:endnote>
  <w:endnote w:id="156">
    <w:p w14:paraId="68EF9160"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Id. at § 708(a).</w:t>
      </w:r>
    </w:p>
  </w:endnote>
  <w:endnote w:id="157">
    <w:p w14:paraId="1411E0C5" w14:textId="3975F4CB"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Const. Proj., Justice Denied, </w:t>
      </w:r>
      <w:r w:rsidRPr="00921EC5">
        <w:rPr>
          <w:rFonts w:ascii="Avenir Book" w:hAnsi="Avenir Book"/>
          <w:i/>
          <w:color w:val="000000" w:themeColor="text1"/>
          <w:sz w:val="18"/>
          <w:szCs w:val="18"/>
        </w:rPr>
        <w:t>supra</w:t>
      </w:r>
      <w:r w:rsidRPr="00921EC5">
        <w:rPr>
          <w:rFonts w:ascii="Avenir Book" w:hAnsi="Avenir Book"/>
          <w:i/>
          <w:smallCaps/>
          <w:color w:val="000000" w:themeColor="text1"/>
          <w:sz w:val="18"/>
          <w:szCs w:val="18"/>
        </w:rPr>
        <w:t xml:space="preserve"> </w:t>
      </w:r>
      <w:r w:rsidRPr="00921EC5">
        <w:rPr>
          <w:rFonts w:ascii="Avenir Book" w:hAnsi="Avenir Book"/>
          <w:color w:val="000000" w:themeColor="text1"/>
          <w:sz w:val="18"/>
          <w:szCs w:val="18"/>
        </w:rPr>
        <w:t>note 85</w:t>
      </w:r>
      <w:r w:rsidRPr="00921EC5">
        <w:rPr>
          <w:rFonts w:ascii="Avenir Book" w:hAnsi="Avenir Book"/>
          <w:smallCaps/>
          <w:color w:val="000000" w:themeColor="text1"/>
          <w:sz w:val="18"/>
          <w:szCs w:val="18"/>
        </w:rPr>
        <w:t xml:space="preserve">, </w:t>
      </w:r>
      <w:r w:rsidRPr="00921EC5">
        <w:rPr>
          <w:rFonts w:ascii="Avenir Book" w:hAnsi="Avenir Book"/>
          <w:color w:val="000000" w:themeColor="text1"/>
          <w:sz w:val="18"/>
          <w:szCs w:val="18"/>
        </w:rPr>
        <w:t>at 154.</w:t>
      </w:r>
    </w:p>
  </w:endnote>
  <w:endnote w:id="158">
    <w:p w14:paraId="0CE89FDD" w14:textId="3A66D81B"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r w:rsidRPr="00921EC5">
        <w:rPr>
          <w:rFonts w:ascii="Avenir Book" w:hAnsi="Avenir Book"/>
          <w:color w:val="000000" w:themeColor="text1"/>
          <w:sz w:val="18"/>
          <w:szCs w:val="18"/>
        </w:rPr>
        <w:t xml:space="preserve">  at 156.</w:t>
      </w:r>
    </w:p>
  </w:endnote>
  <w:endnote w:id="159">
    <w:p w14:paraId="5349A0E6" w14:textId="5EBB4CD4"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160">
    <w:p w14:paraId="4AAE7990" w14:textId="79C789C6"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161">
    <w:p w14:paraId="39FEBB6E"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A significant benefit of which is simply logistical. However, because of the physical proximity of the Office to the courtrooms, we believe that moving away from the trial team system will not raise significant logistical drawbacks.</w:t>
      </w:r>
    </w:p>
  </w:endnote>
  <w:endnote w:id="162">
    <w:p w14:paraId="4B200AE3" w14:textId="15731312"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iCs/>
          <w:color w:val="000000" w:themeColor="text1"/>
          <w:sz w:val="18"/>
          <w:szCs w:val="18"/>
        </w:rPr>
        <w:t>See</w:t>
      </w:r>
      <w:r w:rsidRPr="00921EC5">
        <w:rPr>
          <w:rFonts w:ascii="Avenir Book" w:hAnsi="Avenir Book"/>
          <w:color w:val="000000" w:themeColor="text1"/>
          <w:sz w:val="18"/>
          <w:szCs w:val="18"/>
        </w:rPr>
        <w:t xml:space="preserve">, </w:t>
      </w:r>
      <w:r w:rsidRPr="00921EC5">
        <w:rPr>
          <w:rFonts w:ascii="Avenir Book" w:hAnsi="Avenir Book"/>
          <w:i/>
          <w:iCs/>
          <w:color w:val="000000" w:themeColor="text1"/>
          <w:sz w:val="18"/>
          <w:szCs w:val="18"/>
        </w:rPr>
        <w:t>e.g.,</w:t>
      </w:r>
      <w:r w:rsidRPr="00921EC5">
        <w:rPr>
          <w:rFonts w:ascii="Avenir Book" w:hAnsi="Avenir Book"/>
          <w:color w:val="000000" w:themeColor="text1"/>
          <w:sz w:val="18"/>
          <w:szCs w:val="18"/>
        </w:rPr>
        <w:t xml:space="preserve"> Jonathan A. Rapping, </w:t>
      </w:r>
      <w:r w:rsidRPr="00921EC5">
        <w:rPr>
          <w:rFonts w:ascii="Avenir Book" w:hAnsi="Avenir Book"/>
          <w:i/>
          <w:iCs/>
          <w:color w:val="000000" w:themeColor="text1"/>
          <w:sz w:val="18"/>
          <w:szCs w:val="18"/>
        </w:rPr>
        <w:t xml:space="preserve">Directing the Winds of Change: Using Organizational Culture to Reform Indigent Defense, </w:t>
      </w:r>
      <w:r w:rsidRPr="00921EC5">
        <w:rPr>
          <w:rFonts w:ascii="Avenir Book" w:hAnsi="Avenir Book"/>
          <w:color w:val="000000" w:themeColor="text1"/>
          <w:sz w:val="18"/>
          <w:szCs w:val="18"/>
        </w:rPr>
        <w:t>9 Loy. J. Pub. Int. L 177, 187–88 (2008)(“Tethered to a courtroom, “the public defender's workload and time devoted to [that] work is driven primarily by the judge in their [courtroom] ... they come in when the judge does and leave when court is finished for the day… Thus, the public defender in essence becomes part of the judge's courtroom team. In this way, the Board minimized the likelihood that a lawyer would practice in a manner inconsistent with the judge's wishes.”).</w:t>
      </w:r>
    </w:p>
  </w:endnote>
  <w:endnote w:id="163">
    <w:p w14:paraId="71FA385F" w14:textId="45998410"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Nat’l Ass’n Pub. Defs.,</w:t>
      </w:r>
      <w:r>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Policy statement of Independence,</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_Ref62729886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15</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xml:space="preserve"> at 7.</w:t>
      </w:r>
    </w:p>
  </w:endnote>
  <w:endnote w:id="164">
    <w:p w14:paraId="360A05E9"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Joe,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_Ref62736251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73</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at</w:t>
      </w:r>
      <w:r w:rsidRPr="00921EC5">
        <w:rPr>
          <w:rFonts w:ascii="Avenir Book" w:hAnsi="Avenir Book"/>
          <w:color w:val="000000" w:themeColor="text1"/>
          <w:sz w:val="18"/>
          <w:szCs w:val="18"/>
        </w:rPr>
        <w:t xml:space="preserve"> 20.</w:t>
      </w:r>
    </w:p>
  </w:endnote>
  <w:endnote w:id="165">
    <w:p w14:paraId="246D262F" w14:textId="070EF19B"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Jessa DeSimone, </w:t>
      </w:r>
      <w:r w:rsidRPr="00921EC5">
        <w:rPr>
          <w:rFonts w:ascii="Avenir Book" w:hAnsi="Avenir Book"/>
          <w:i/>
          <w:color w:val="000000" w:themeColor="text1"/>
          <w:sz w:val="18"/>
          <w:szCs w:val="18"/>
        </w:rPr>
        <w:t>Bucking Conventional Wisdom: The Montana Public Defender Act</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96 J. Crim. L. &amp; Criminology</w:t>
      </w:r>
      <w:r w:rsidRPr="00921EC5">
        <w:rPr>
          <w:rFonts w:ascii="Avenir Book" w:hAnsi="Avenir Book"/>
          <w:color w:val="000000" w:themeColor="text1"/>
          <w:sz w:val="18"/>
          <w:szCs w:val="18"/>
        </w:rPr>
        <w:t xml:space="preserve"> 1479, 1486 (2006).</w:t>
      </w:r>
    </w:p>
  </w:endnote>
  <w:endnote w:id="166">
    <w:p w14:paraId="0A5E8ECE" w14:textId="53E8E67A"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ABA Comm. on Legal Aid and Indigent Defendants,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w:t>
      </w:r>
      <w:r w:rsidRPr="00921EC5">
        <w:rPr>
          <w:rFonts w:ascii="Avenir Book" w:hAnsi="Avenir Book"/>
          <w:smallCaps/>
          <w:color w:val="000000" w:themeColor="text1"/>
          <w:sz w:val="18"/>
          <w:szCs w:val="18"/>
        </w:rPr>
        <w:t xml:space="preserve"> </w:t>
      </w:r>
      <w:r w:rsidRPr="00921EC5">
        <w:rPr>
          <w:rFonts w:ascii="Avenir Book" w:hAnsi="Avenir Book"/>
          <w:smallCaps/>
          <w:color w:val="000000" w:themeColor="text1"/>
          <w:sz w:val="18"/>
          <w:szCs w:val="18"/>
        </w:rPr>
        <w:fldChar w:fldCharType="begin"/>
      </w:r>
      <w:r w:rsidRPr="00921EC5">
        <w:rPr>
          <w:rFonts w:ascii="Avenir Book" w:hAnsi="Avenir Book"/>
          <w:smallCaps/>
          <w:color w:val="000000" w:themeColor="text1"/>
          <w:sz w:val="18"/>
          <w:szCs w:val="18"/>
        </w:rPr>
        <w:instrText xml:space="preserve"> NOTEREF _Ref62729658 \h  \* MERGEFORMAT </w:instrText>
      </w:r>
      <w:r w:rsidRPr="00921EC5">
        <w:rPr>
          <w:rFonts w:ascii="Avenir Book" w:hAnsi="Avenir Book"/>
          <w:smallCaps/>
          <w:color w:val="000000" w:themeColor="text1"/>
          <w:sz w:val="18"/>
          <w:szCs w:val="18"/>
        </w:rPr>
      </w:r>
      <w:r w:rsidRPr="00921EC5">
        <w:rPr>
          <w:rFonts w:ascii="Avenir Book" w:hAnsi="Avenir Book"/>
          <w:smallCaps/>
          <w:color w:val="000000" w:themeColor="text1"/>
          <w:sz w:val="18"/>
          <w:szCs w:val="18"/>
        </w:rPr>
        <w:fldChar w:fldCharType="separate"/>
      </w:r>
      <w:r w:rsidRPr="00921EC5">
        <w:rPr>
          <w:rFonts w:ascii="Avenir Book" w:hAnsi="Avenir Book"/>
          <w:smallCaps/>
          <w:color w:val="000000" w:themeColor="text1"/>
          <w:sz w:val="18"/>
          <w:szCs w:val="18"/>
        </w:rPr>
        <w:t>21</w:t>
      </w:r>
      <w:r w:rsidRPr="00921EC5">
        <w:rPr>
          <w:rFonts w:ascii="Avenir Book" w:hAnsi="Avenir Book"/>
          <w:smallCaps/>
          <w:color w:val="000000" w:themeColor="text1"/>
          <w:sz w:val="18"/>
          <w:szCs w:val="18"/>
        </w:rPr>
        <w:fldChar w:fldCharType="end"/>
      </w:r>
      <w:r w:rsidRPr="00921EC5">
        <w:rPr>
          <w:rFonts w:ascii="Avenir Book" w:hAnsi="Avenir Book"/>
          <w:smallCaps/>
          <w:color w:val="000000" w:themeColor="text1"/>
          <w:sz w:val="18"/>
          <w:szCs w:val="18"/>
        </w:rPr>
        <w:t xml:space="preserve">, </w:t>
      </w:r>
      <w:r w:rsidRPr="00921EC5">
        <w:rPr>
          <w:rFonts w:ascii="Avenir Book" w:hAnsi="Avenir Book"/>
          <w:color w:val="000000" w:themeColor="text1"/>
          <w:sz w:val="18"/>
          <w:szCs w:val="18"/>
        </w:rPr>
        <w:t>at</w:t>
      </w:r>
      <w:r w:rsidRPr="00921EC5">
        <w:rPr>
          <w:rFonts w:ascii="Avenir Book" w:hAnsi="Avenir Book"/>
          <w:smallCaps/>
          <w:color w:val="000000" w:themeColor="text1"/>
          <w:sz w:val="18"/>
          <w:szCs w:val="18"/>
        </w:rPr>
        <w:t xml:space="preserve"> 1</w:t>
      </w:r>
      <w:r w:rsidRPr="00921EC5">
        <w:rPr>
          <w:rFonts w:ascii="Avenir Book" w:hAnsi="Avenir Book"/>
          <w:color w:val="000000" w:themeColor="text1"/>
          <w:sz w:val="18"/>
          <w:szCs w:val="18"/>
        </w:rPr>
        <w:t>.</w:t>
      </w:r>
    </w:p>
  </w:endnote>
  <w:endnote w:id="167">
    <w:p w14:paraId="68991966" w14:textId="46D3578B" w:rsidR="00D267E7" w:rsidRPr="00921EC5" w:rsidRDefault="00D267E7" w:rsidP="00921EC5">
      <w:pPr>
        <w:pStyle w:val="EndnoteText"/>
        <w:jc w:val="both"/>
        <w:rPr>
          <w:rFonts w:ascii="Avenir Book" w:hAnsi="Avenir Book"/>
          <w:iCs/>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Id. </w:t>
      </w:r>
      <w:r w:rsidRPr="00921EC5">
        <w:rPr>
          <w:rFonts w:ascii="Avenir Book" w:hAnsi="Avenir Book"/>
          <w:iCs/>
          <w:color w:val="000000" w:themeColor="text1"/>
          <w:sz w:val="18"/>
          <w:szCs w:val="18"/>
        </w:rPr>
        <w:t>at Principle 5.</w:t>
      </w:r>
    </w:p>
  </w:endnote>
  <w:endnote w:id="168">
    <w:p w14:paraId="54705078" w14:textId="416D7805"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Nat’l Ass’n of Pub. Defs</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_Ref62826501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24</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xml:space="preserve">, at Principle </w:t>
      </w:r>
      <w:r w:rsidRPr="00921EC5">
        <w:rPr>
          <w:rFonts w:ascii="Avenir Book" w:hAnsi="Avenir Book"/>
          <w:smallCaps/>
          <w:color w:val="000000" w:themeColor="text1"/>
          <w:sz w:val="18"/>
          <w:szCs w:val="18"/>
        </w:rPr>
        <w:t>3</w:t>
      </w:r>
      <w:r w:rsidRPr="00921EC5">
        <w:rPr>
          <w:rFonts w:ascii="Avenir Book" w:hAnsi="Avenir Book"/>
          <w:color w:val="000000" w:themeColor="text1"/>
          <w:sz w:val="18"/>
          <w:szCs w:val="18"/>
        </w:rPr>
        <w:t>.</w:t>
      </w:r>
    </w:p>
  </w:endnote>
  <w:endnote w:id="169">
    <w:p w14:paraId="73CBF371" w14:textId="6398CC98"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r w:rsidRPr="00921EC5">
        <w:rPr>
          <w:rFonts w:ascii="Avenir Book" w:hAnsi="Avenir Book"/>
          <w:color w:val="000000" w:themeColor="text1"/>
          <w:sz w:val="18"/>
          <w:szCs w:val="18"/>
        </w:rPr>
        <w:t xml:space="preserve"> at Principle 5.</w:t>
      </w:r>
    </w:p>
  </w:endnote>
  <w:endnote w:id="170">
    <w:p w14:paraId="72472CCF" w14:textId="5F0352A0"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DeSimone,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note 164, at 1485.</w:t>
      </w:r>
    </w:p>
  </w:endnote>
  <w:endnote w:id="171">
    <w:p w14:paraId="2F8EFDA8" w14:textId="326BBB3F"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Adam M. Gershowitz, </w:t>
      </w:r>
      <w:r w:rsidRPr="00921EC5">
        <w:rPr>
          <w:rFonts w:ascii="Avenir Book" w:hAnsi="Avenir Book"/>
          <w:i/>
          <w:color w:val="000000" w:themeColor="text1"/>
          <w:sz w:val="18"/>
          <w:szCs w:val="18"/>
        </w:rPr>
        <w:t>Raise the Proof: A Default Rule for Indigent Defense</w:t>
      </w:r>
      <w:r w:rsidRPr="00921EC5">
        <w:rPr>
          <w:rFonts w:ascii="Avenir Book" w:hAnsi="Avenir Book"/>
          <w:color w:val="000000" w:themeColor="text1"/>
          <w:sz w:val="18"/>
          <w:szCs w:val="18"/>
        </w:rPr>
        <w:t xml:space="preserve">,” 40 </w:t>
      </w:r>
      <w:r w:rsidRPr="00921EC5">
        <w:rPr>
          <w:rFonts w:ascii="Avenir Book" w:hAnsi="Avenir Book"/>
          <w:smallCaps/>
          <w:color w:val="000000" w:themeColor="text1"/>
          <w:sz w:val="18"/>
          <w:szCs w:val="18"/>
        </w:rPr>
        <w:t xml:space="preserve">Conn. L. Rev. </w:t>
      </w:r>
      <w:r w:rsidRPr="00921EC5">
        <w:rPr>
          <w:rFonts w:ascii="Avenir Book" w:hAnsi="Avenir Book"/>
          <w:color w:val="000000" w:themeColor="text1"/>
          <w:sz w:val="18"/>
          <w:szCs w:val="18"/>
        </w:rPr>
        <w:t>85, 92 (2007).</w:t>
      </w:r>
    </w:p>
  </w:endnote>
  <w:endnote w:id="172">
    <w:p w14:paraId="1BA5E4A2" w14:textId="06194505"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Backus &amp; Marcus,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_Ref62810862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67</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1579.</w:t>
      </w:r>
    </w:p>
  </w:endnote>
  <w:endnote w:id="173">
    <w:p w14:paraId="4640E315" w14:textId="59E4DF13"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Gershowitz,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_Ref62810895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166</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92.</w:t>
      </w:r>
    </w:p>
  </w:endnote>
  <w:endnote w:id="174">
    <w:p w14:paraId="42547A5D" w14:textId="3AEB47A8"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color w:val="000000" w:themeColor="text1"/>
          <w:sz w:val="18"/>
          <w:szCs w:val="18"/>
        </w:rPr>
        <w:t xml:space="preserve">Backus &amp; Marcus,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_Ref62810862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67</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w:t>
      </w:r>
      <w:r w:rsidRPr="00921EC5" w:rsidDel="00E067F9">
        <w:rPr>
          <w:rFonts w:ascii="Avenir Book" w:hAnsi="Avenir Book"/>
          <w:color w:val="000000" w:themeColor="text1"/>
          <w:sz w:val="18"/>
          <w:szCs w:val="18"/>
        </w:rPr>
        <w:t xml:space="preserve"> </w:t>
      </w:r>
      <w:r w:rsidRPr="00921EC5">
        <w:rPr>
          <w:rFonts w:ascii="Avenir Book" w:hAnsi="Avenir Book"/>
          <w:color w:val="000000" w:themeColor="text1"/>
          <w:sz w:val="18"/>
          <w:szCs w:val="18"/>
        </w:rPr>
        <w:t>1579.</w:t>
      </w:r>
    </w:p>
  </w:endnote>
  <w:endnote w:id="175">
    <w:p w14:paraId="29FAFC0B" w14:textId="6B52ED43"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Carroll,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_Ref62741146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106</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w:t>
      </w:r>
    </w:p>
  </w:endnote>
  <w:endnote w:id="176">
    <w:p w14:paraId="0FC9F488" w14:textId="7B002CEA"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177">
    <w:p w14:paraId="74ABA9E6" w14:textId="247090A5"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178">
    <w:p w14:paraId="218DDBFF" w14:textId="429255FB"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Backus &amp; Marcus,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_Ref62810862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67</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Utah was also in this category until very recently, but has established a state-funded Indigent Defense Commission and moved to a statewide funding model.</w:t>
      </w:r>
    </w:p>
  </w:endnote>
  <w:endnote w:id="179">
    <w:p w14:paraId="109C5E4C" w14:textId="48C5DBB5"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Nat’l Legal Aid &amp; Defender Ass’n, An Assessment of Indigent Defense Services in Montana</w:t>
      </w:r>
      <w:r w:rsidRPr="00921EC5">
        <w:rPr>
          <w:rFonts w:ascii="Avenir Book" w:hAnsi="Avenir Book"/>
          <w:color w:val="000000" w:themeColor="text1"/>
          <w:sz w:val="18"/>
          <w:szCs w:val="18"/>
        </w:rPr>
        <w:t xml:space="preserve"> 4 (Aug. 4, 2004), </w:t>
      </w:r>
      <w:hyperlink r:id="rId23" w:history="1">
        <w:r w:rsidRPr="00921EC5">
          <w:rPr>
            <w:rStyle w:val="Hyperlink"/>
            <w:rFonts w:ascii="Avenir Book" w:hAnsi="Avenir Book"/>
            <w:color w:val="000000" w:themeColor="text1"/>
            <w:sz w:val="18"/>
            <w:szCs w:val="18"/>
          </w:rPr>
          <w:t>https://leg.mt.gov/content/Committees/Interim/2015-2016/Public-Defender/Committee-Topics/assessment-in-montana.pdf</w:t>
        </w:r>
      </w:hyperlink>
      <w:r w:rsidRPr="00921EC5">
        <w:rPr>
          <w:rFonts w:ascii="Avenir Book" w:hAnsi="Avenir Book"/>
          <w:color w:val="000000" w:themeColor="text1"/>
          <w:sz w:val="18"/>
          <w:szCs w:val="18"/>
        </w:rPr>
        <w:t>. (last accessed Dec. 1, 2020).</w:t>
      </w:r>
    </w:p>
  </w:endnote>
  <w:endnote w:id="180">
    <w:p w14:paraId="59DA4819" w14:textId="60D29D79"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Joe,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_Ref62736251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73</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xml:space="preserve">, at 26; </w:t>
      </w:r>
      <w:r w:rsidRPr="00921EC5">
        <w:rPr>
          <w:rFonts w:ascii="Avenir Book" w:hAnsi="Avenir Book"/>
          <w:i/>
          <w:color w:val="000000" w:themeColor="text1"/>
          <w:sz w:val="18"/>
          <w:szCs w:val="18"/>
        </w:rPr>
        <w:t xml:space="preserve">see also </w:t>
      </w:r>
      <w:r w:rsidRPr="00921EC5">
        <w:rPr>
          <w:rFonts w:ascii="Avenir Book" w:hAnsi="Avenir Book"/>
          <w:color w:val="000000" w:themeColor="text1"/>
          <w:sz w:val="18"/>
          <w:szCs w:val="18"/>
        </w:rPr>
        <w:t xml:space="preserve">David A. Simon, </w:t>
      </w:r>
      <w:r w:rsidRPr="00921EC5">
        <w:rPr>
          <w:rFonts w:ascii="Avenir Book" w:hAnsi="Avenir Book"/>
          <w:i/>
          <w:color w:val="000000" w:themeColor="text1"/>
          <w:sz w:val="18"/>
          <w:szCs w:val="18"/>
        </w:rPr>
        <w:t>Equal Before the Law: Toward a Restoration of Gideon’s Promise</w:t>
      </w:r>
      <w:r w:rsidRPr="00921EC5">
        <w:rPr>
          <w:rFonts w:ascii="Avenir Book" w:hAnsi="Avenir Book"/>
          <w:color w:val="000000" w:themeColor="text1"/>
          <w:sz w:val="18"/>
          <w:szCs w:val="18"/>
        </w:rPr>
        <w:t xml:space="preserve">, 43 </w:t>
      </w:r>
      <w:r w:rsidRPr="00921EC5">
        <w:rPr>
          <w:rFonts w:ascii="Avenir Book" w:hAnsi="Avenir Book"/>
          <w:smallCaps/>
          <w:color w:val="000000" w:themeColor="text1"/>
          <w:sz w:val="18"/>
          <w:szCs w:val="18"/>
        </w:rPr>
        <w:t>Harv. C.R.-C.L. L. Rev.</w:t>
      </w:r>
      <w:r w:rsidRPr="00921EC5">
        <w:rPr>
          <w:rFonts w:ascii="Avenir Book" w:hAnsi="Avenir Book"/>
          <w:color w:val="000000" w:themeColor="text1"/>
          <w:sz w:val="18"/>
          <w:szCs w:val="18"/>
        </w:rPr>
        <w:t xml:space="preserve"> 581, 594 (2008) (describing how in in counties with a disproportionately greater number of indigent residents, making funding schemes for public defender systems dependent on property tax revenues will lead to a diminishing number of indigent defendants who receive adequate representation).</w:t>
      </w:r>
    </w:p>
  </w:endnote>
  <w:endnote w:id="181">
    <w:p w14:paraId="260CD3A8" w14:textId="7A57535C"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ABA</w:t>
      </w:r>
      <w:r w:rsidRPr="00921EC5">
        <w:rPr>
          <w:rFonts w:ascii="Avenir Book" w:hAnsi="Avenir Book"/>
          <w:smallCaps/>
          <w:color w:val="000000" w:themeColor="text1"/>
          <w:sz w:val="18"/>
          <w:szCs w:val="18"/>
        </w:rPr>
        <w:t xml:space="preserve"> Standing Comm. on Legal Aid and Indigent Defendants,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_Ref62813185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76</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xml:space="preserve">, at 9; </w:t>
      </w:r>
      <w:r w:rsidRPr="00921EC5">
        <w:rPr>
          <w:rFonts w:ascii="Avenir Book" w:hAnsi="Avenir Book"/>
          <w:i/>
          <w:color w:val="000000" w:themeColor="text1"/>
          <w:sz w:val="18"/>
          <w:szCs w:val="18"/>
        </w:rPr>
        <w:t xml:space="preserve">see also </w:t>
      </w:r>
      <w:r w:rsidRPr="00921EC5">
        <w:rPr>
          <w:rFonts w:ascii="Avenir Book" w:hAnsi="Avenir Book"/>
          <w:smallCaps/>
          <w:color w:val="000000" w:themeColor="text1"/>
          <w:sz w:val="18"/>
          <w:szCs w:val="18"/>
        </w:rPr>
        <w:t xml:space="preserve">Advisory Comm. on Servs. to Indigent Criminal Defendants,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_Ref62734686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12</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2-3.</w:t>
      </w:r>
    </w:p>
  </w:endnote>
  <w:endnote w:id="182">
    <w:p w14:paraId="55208F13" w14:textId="5D65AAEE"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Bryan Furst</w:t>
      </w:r>
      <w:r w:rsidRPr="00921EC5">
        <w:rPr>
          <w:rFonts w:ascii="Avenir Book" w:hAnsi="Avenir Book"/>
          <w:smallCaps/>
          <w:color w:val="000000" w:themeColor="text1"/>
          <w:sz w:val="18"/>
          <w:szCs w:val="18"/>
        </w:rPr>
        <w:t>, Brennan Ctr. for Just., A Fair Fight: Achieving Indigent Defense Resource Parity</w:t>
      </w:r>
      <w:r w:rsidRPr="00921EC5">
        <w:rPr>
          <w:rFonts w:ascii="Avenir Book" w:hAnsi="Avenir Book"/>
          <w:color w:val="000000" w:themeColor="text1"/>
          <w:sz w:val="18"/>
          <w:szCs w:val="18"/>
        </w:rPr>
        <w:t xml:space="preserve"> 6 (2019).</w:t>
      </w:r>
    </w:p>
  </w:endnote>
  <w:endnote w:id="183">
    <w:p w14:paraId="3BB67429" w14:textId="0D4EBE28"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Robert L. Spangenberg &amp; Marea L. Beeman, </w:t>
      </w:r>
      <w:r w:rsidRPr="00921EC5">
        <w:rPr>
          <w:rFonts w:ascii="Avenir Book" w:hAnsi="Avenir Book"/>
          <w:i/>
          <w:color w:val="000000" w:themeColor="text1"/>
          <w:sz w:val="18"/>
          <w:szCs w:val="18"/>
        </w:rPr>
        <w:t>Indigent Defense Systems in the United States</w:t>
      </w:r>
      <w:r w:rsidRPr="00921EC5">
        <w:rPr>
          <w:rFonts w:ascii="Avenir Book" w:hAnsi="Avenir Book"/>
          <w:color w:val="000000" w:themeColor="text1"/>
          <w:sz w:val="18"/>
          <w:szCs w:val="18"/>
        </w:rPr>
        <w:t xml:space="preserve">, 58 </w:t>
      </w:r>
      <w:r w:rsidRPr="00921EC5">
        <w:rPr>
          <w:rFonts w:ascii="Avenir Book" w:hAnsi="Avenir Book"/>
          <w:smallCaps/>
          <w:color w:val="000000" w:themeColor="text1"/>
          <w:sz w:val="18"/>
          <w:szCs w:val="18"/>
        </w:rPr>
        <w:t>L. &amp; Contemp. Probs.</w:t>
      </w:r>
      <w:r w:rsidRPr="00921EC5">
        <w:rPr>
          <w:rFonts w:ascii="Avenir Book" w:hAnsi="Avenir Book"/>
          <w:color w:val="000000" w:themeColor="text1"/>
          <w:sz w:val="18"/>
          <w:szCs w:val="18"/>
        </w:rPr>
        <w:t xml:space="preserve"> 31, 32 (1995).</w:t>
      </w:r>
    </w:p>
  </w:endnote>
  <w:endnote w:id="184">
    <w:p w14:paraId="61931D1D" w14:textId="05366369"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Furst</w:t>
      </w:r>
      <w:r w:rsidRPr="00921EC5">
        <w:rPr>
          <w:rFonts w:ascii="Avenir Book" w:hAnsi="Avenir Book"/>
          <w:smallCaps/>
          <w:color w:val="000000" w:themeColor="text1"/>
          <w:sz w:val="18"/>
          <w:szCs w:val="18"/>
        </w:rPr>
        <w:t xml:space="preserv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181, at 5.</w:t>
      </w:r>
    </w:p>
  </w:endnote>
  <w:endnote w:id="185">
    <w:p w14:paraId="6D569377" w14:textId="5B460228"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Mich. Indigent Def. Comm’n, Delivery System Reform Models: Planning Improvements in Public Defense </w:t>
      </w:r>
      <w:r w:rsidRPr="00921EC5">
        <w:rPr>
          <w:rFonts w:ascii="Avenir Book" w:hAnsi="Avenir Book"/>
          <w:color w:val="000000" w:themeColor="text1"/>
          <w:sz w:val="18"/>
          <w:szCs w:val="18"/>
        </w:rPr>
        <w:t xml:space="preserve">4 (2016), </w:t>
      </w:r>
      <w:hyperlink r:id="rId24">
        <w:r w:rsidRPr="00921EC5">
          <w:rPr>
            <w:rFonts w:ascii="Avenir Book" w:hAnsi="Avenir Book"/>
            <w:color w:val="000000" w:themeColor="text1"/>
            <w:sz w:val="18"/>
            <w:szCs w:val="18"/>
            <w:u w:val="single"/>
          </w:rPr>
          <w:t>https://michiganidc.gov/wp-content/uploads/2015/04/Delivery-System-Reform-Models-Final-Dec-2016.pdf</w:t>
        </w:r>
      </w:hyperlink>
      <w:r w:rsidRPr="00921EC5">
        <w:rPr>
          <w:rFonts w:ascii="Avenir Book" w:hAnsi="Avenir Book"/>
          <w:color w:val="000000" w:themeColor="text1"/>
          <w:sz w:val="18"/>
          <w:szCs w:val="18"/>
        </w:rPr>
        <w:t>.</w:t>
      </w:r>
    </w:p>
  </w:endnote>
  <w:endnote w:id="186">
    <w:p w14:paraId="2D642761" w14:textId="347D8076"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ABA Standards for Criminal Justice,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_Ref62738477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96</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7.</w:t>
      </w:r>
    </w:p>
  </w:endnote>
  <w:endnote w:id="187">
    <w:p w14:paraId="30B2777E" w14:textId="278F1DA3"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Michigan Indigent Defense Commission</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_Ref62813636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180</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w:t>
      </w:r>
    </w:p>
  </w:endnote>
  <w:endnote w:id="188">
    <w:p w14:paraId="630059F9" w14:textId="45D814CD"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Furst</w:t>
      </w:r>
      <w:r w:rsidRPr="00921EC5">
        <w:rPr>
          <w:rFonts w:ascii="Avenir Book" w:hAnsi="Avenir Book"/>
          <w:smallCaps/>
          <w:color w:val="000000" w:themeColor="text1"/>
          <w:sz w:val="18"/>
          <w:szCs w:val="18"/>
        </w:rPr>
        <w:t xml:space="preserv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181, at 5.</w:t>
      </w:r>
    </w:p>
  </w:endnote>
  <w:endnote w:id="189">
    <w:p w14:paraId="1F88A30A"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Eve Hanan, </w:t>
      </w:r>
      <w:r w:rsidRPr="00921EC5">
        <w:rPr>
          <w:rFonts w:ascii="Avenir Book" w:hAnsi="Avenir Book"/>
          <w:i/>
          <w:color w:val="000000" w:themeColor="text1"/>
          <w:sz w:val="18"/>
          <w:szCs w:val="18"/>
        </w:rPr>
        <w:t>Big Law, Public Defender Style: Aggregating Resources to Ensure Uniform Quality of Representation</w:t>
      </w:r>
      <w:r w:rsidRPr="00921EC5">
        <w:rPr>
          <w:rFonts w:ascii="Avenir Book" w:hAnsi="Avenir Book"/>
          <w:color w:val="000000" w:themeColor="text1"/>
          <w:sz w:val="18"/>
          <w:szCs w:val="18"/>
        </w:rPr>
        <w:t xml:space="preserve">, 74 </w:t>
      </w:r>
      <w:r w:rsidRPr="00921EC5">
        <w:rPr>
          <w:rFonts w:ascii="Avenir Book" w:hAnsi="Avenir Book"/>
          <w:smallCaps/>
          <w:color w:val="000000" w:themeColor="text1"/>
          <w:sz w:val="18"/>
          <w:szCs w:val="18"/>
        </w:rPr>
        <w:t>Wash. &amp; Lee. L. Rev. Online</w:t>
      </w:r>
      <w:r w:rsidRPr="00921EC5">
        <w:rPr>
          <w:rFonts w:ascii="Avenir Book" w:hAnsi="Avenir Book"/>
          <w:color w:val="000000" w:themeColor="text1"/>
          <w:sz w:val="18"/>
          <w:szCs w:val="18"/>
        </w:rPr>
        <w:t xml:space="preserve"> 420, 432 (2018).</w:t>
      </w:r>
    </w:p>
  </w:endnote>
  <w:endnote w:id="190">
    <w:p w14:paraId="4CE2E964" w14:textId="6E71B786" w:rsidR="00D267E7" w:rsidRPr="00921EC5" w:rsidRDefault="00D267E7" w:rsidP="00921EC5">
      <w:pPr>
        <w:pStyle w:val="EndnoteText"/>
        <w:jc w:val="both"/>
        <w:rPr>
          <w:rFonts w:ascii="Avenir Book" w:hAnsi="Avenir Book"/>
          <w:i/>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color w:val="000000" w:themeColor="text1"/>
          <w:sz w:val="18"/>
          <w:szCs w:val="18"/>
        </w:rPr>
        <w:t xml:space="preserve">Spangenberg &amp; Beeman,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182, at </w:t>
      </w:r>
      <w:r w:rsidRPr="00921EC5">
        <w:rPr>
          <w:rFonts w:ascii="Avenir Book" w:hAnsi="Avenir Book"/>
          <w:i/>
          <w:color w:val="000000" w:themeColor="text1"/>
          <w:sz w:val="18"/>
          <w:szCs w:val="18"/>
        </w:rPr>
        <w:t>33</w:t>
      </w:r>
      <w:r w:rsidRPr="00921EC5">
        <w:rPr>
          <w:rFonts w:ascii="Avenir Book" w:hAnsi="Avenir Book"/>
          <w:color w:val="000000" w:themeColor="text1"/>
          <w:sz w:val="18"/>
          <w:szCs w:val="18"/>
        </w:rPr>
        <w:t>-34.</w:t>
      </w:r>
    </w:p>
  </w:endnote>
  <w:endnote w:id="191">
    <w:p w14:paraId="382088CE"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Jeff Brown, </w:t>
      </w:r>
      <w:r w:rsidRPr="00921EC5">
        <w:rPr>
          <w:rFonts w:ascii="Avenir Book" w:hAnsi="Avenir Book"/>
          <w:i/>
          <w:color w:val="000000" w:themeColor="text1"/>
          <w:sz w:val="18"/>
          <w:szCs w:val="18"/>
        </w:rPr>
        <w:t>Disqualification of the Public Defender: Toward a New Protocol for Resolving Conflicts of Interest</w:t>
      </w:r>
      <w:r w:rsidRPr="00921EC5">
        <w:rPr>
          <w:rFonts w:ascii="Avenir Book" w:hAnsi="Avenir Book"/>
          <w:color w:val="000000" w:themeColor="text1"/>
          <w:sz w:val="18"/>
          <w:szCs w:val="18"/>
        </w:rPr>
        <w:t>, 31 U.S.F</w:t>
      </w:r>
      <w:r w:rsidRPr="00921EC5">
        <w:rPr>
          <w:rFonts w:ascii="Avenir Book" w:hAnsi="Avenir Book"/>
          <w:smallCaps/>
          <w:color w:val="000000" w:themeColor="text1"/>
          <w:sz w:val="18"/>
          <w:szCs w:val="18"/>
        </w:rPr>
        <w:t>. L. Rev.</w:t>
      </w:r>
      <w:r w:rsidRPr="00921EC5">
        <w:rPr>
          <w:rFonts w:ascii="Avenir Book" w:hAnsi="Avenir Book"/>
          <w:color w:val="000000" w:themeColor="text1"/>
          <w:sz w:val="18"/>
          <w:szCs w:val="18"/>
        </w:rPr>
        <w:t xml:space="preserve"> 1, 4 (1996).</w:t>
      </w:r>
    </w:p>
  </w:endnote>
  <w:endnote w:id="192">
    <w:p w14:paraId="532D1AC1" w14:textId="209874C4"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Spangenberg &amp; Beeman,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note 182, at 36.</w:t>
      </w:r>
    </w:p>
  </w:endnote>
  <w:endnote w:id="193">
    <w:p w14:paraId="50417CF0" w14:textId="50BC1C8D"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Wallace &amp; Carroll</w:t>
      </w:r>
      <w:r w:rsidRPr="00921EC5">
        <w:rPr>
          <w:rFonts w:ascii="Avenir Book" w:hAnsi="Avenir Book"/>
          <w:smallCaps/>
          <w:color w:val="000000" w:themeColor="text1"/>
          <w:sz w:val="18"/>
          <w:szCs w:val="18"/>
        </w:rPr>
        <w:t xml:space="preserv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_Ref62813967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97</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13.</w:t>
      </w:r>
    </w:p>
  </w:endnote>
  <w:endnote w:id="194">
    <w:p w14:paraId="7B62E1AB" w14:textId="1D14CD28"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ABA Standing Comm. on Legal Aid and Indigent Defendants,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_Ref62813185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76</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13.</w:t>
      </w:r>
    </w:p>
  </w:endnote>
  <w:endnote w:id="195">
    <w:p w14:paraId="1B785F33"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color w:val="000000" w:themeColor="text1"/>
          <w:sz w:val="18"/>
          <w:szCs w:val="18"/>
          <w:u w:val="single"/>
        </w:rPr>
        <w:t>Argersinger v. Hamlin</w:t>
      </w:r>
      <w:r w:rsidRPr="00921EC5">
        <w:rPr>
          <w:rFonts w:ascii="Avenir Book" w:hAnsi="Avenir Book"/>
          <w:color w:val="000000" w:themeColor="text1"/>
          <w:sz w:val="18"/>
          <w:szCs w:val="18"/>
        </w:rPr>
        <w:t>, 407 U.S. 25, 43 (concurring opinion).</w:t>
      </w:r>
    </w:p>
  </w:endnote>
  <w:endnote w:id="196">
    <w:p w14:paraId="73E8E797" w14:textId="77777777" w:rsidR="00D267E7" w:rsidRPr="00921EC5" w:rsidRDefault="00D267E7" w:rsidP="00921EC5">
      <w:pPr>
        <w:pStyle w:val="EndnoteText"/>
        <w:jc w:val="both"/>
        <w:rPr>
          <w:rFonts w:ascii="Avenir Book" w:hAnsi="Avenir Book"/>
          <w:i/>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Ronald F. Wright, </w:t>
      </w:r>
      <w:r w:rsidRPr="00921EC5">
        <w:rPr>
          <w:rFonts w:ascii="Avenir Book" w:hAnsi="Avenir Book"/>
          <w:i/>
          <w:color w:val="000000" w:themeColor="text1"/>
          <w:sz w:val="18"/>
          <w:szCs w:val="18"/>
        </w:rPr>
        <w:t>Parity of Resources for Defense Counsel and the Reach of Public Choice Theory</w:t>
      </w:r>
      <w:r w:rsidRPr="00921EC5">
        <w:rPr>
          <w:rFonts w:ascii="Avenir Book" w:hAnsi="Avenir Book"/>
          <w:color w:val="000000" w:themeColor="text1"/>
          <w:sz w:val="18"/>
          <w:szCs w:val="18"/>
        </w:rPr>
        <w:t>, 90 Iowa L. Rev. 219, 225 (2004).</w:t>
      </w:r>
      <w:r w:rsidRPr="00921EC5">
        <w:rPr>
          <w:rFonts w:ascii="Avenir Book" w:hAnsi="Avenir Book"/>
          <w:i/>
          <w:color w:val="000000" w:themeColor="text1"/>
          <w:sz w:val="18"/>
          <w:szCs w:val="18"/>
        </w:rPr>
        <w:t xml:space="preserve"> </w:t>
      </w:r>
    </w:p>
  </w:endnote>
  <w:endnote w:id="197">
    <w:p w14:paraId="4909714F" w14:textId="59D90FF4"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Id. </w:t>
      </w:r>
      <w:r w:rsidRPr="00921EC5">
        <w:rPr>
          <w:rFonts w:ascii="Avenir Book" w:hAnsi="Avenir Book"/>
          <w:color w:val="000000" w:themeColor="text1"/>
          <w:sz w:val="18"/>
          <w:szCs w:val="18"/>
        </w:rPr>
        <w:t>at 222.</w:t>
      </w:r>
    </w:p>
  </w:endnote>
  <w:endnote w:id="198">
    <w:p w14:paraId="0A4CBB72" w14:textId="419B706B"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Id. </w:t>
      </w:r>
      <w:r w:rsidRPr="00921EC5">
        <w:rPr>
          <w:rFonts w:ascii="Avenir Book" w:hAnsi="Avenir Book"/>
          <w:color w:val="000000" w:themeColor="text1"/>
          <w:sz w:val="18"/>
          <w:szCs w:val="18"/>
        </w:rPr>
        <w:t>at 230-31.</w:t>
      </w:r>
    </w:p>
  </w:endnote>
  <w:endnote w:id="199">
    <w:p w14:paraId="3CBFAC6D" w14:textId="22281034"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Const. Proj., Justice Denied,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85, at 63.</w:t>
      </w:r>
    </w:p>
  </w:endnote>
  <w:endnote w:id="200">
    <w:p w14:paraId="2046AB4A" w14:textId="3DE909A8"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Backus &amp; Marcus,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_Ref62810862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67</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1096.</w:t>
      </w:r>
    </w:p>
  </w:endnote>
  <w:endnote w:id="201">
    <w:p w14:paraId="15E60408" w14:textId="127AAF44"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Wright,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note 195, at 232.</w:t>
      </w:r>
      <w:r w:rsidRPr="00921EC5">
        <w:rPr>
          <w:rFonts w:ascii="Avenir Book" w:hAnsi="Avenir Book"/>
          <w:i/>
          <w:color w:val="000000" w:themeColor="text1"/>
          <w:sz w:val="18"/>
          <w:szCs w:val="18"/>
        </w:rPr>
        <w:t xml:space="preserve"> </w:t>
      </w:r>
      <w:r w:rsidRPr="00921EC5">
        <w:rPr>
          <w:rFonts w:ascii="Avenir Book" w:hAnsi="Avenir Book"/>
          <w:color w:val="000000" w:themeColor="text1"/>
          <w:sz w:val="18"/>
          <w:szCs w:val="18"/>
        </w:rPr>
        <w:t>(The federal system pays the federal public defenders on the same scale as Assistant United States Attorneys. Kansas, Massachusetts, North Carolina, Tennessee, and Wyoming have pay parity on a statewide basis, as do some jurisdictions operating under a county funding models, including Orange County, California and Maricopa County, Arizona.).</w:t>
      </w:r>
    </w:p>
  </w:endnote>
  <w:endnote w:id="202">
    <w:p w14:paraId="34357462" w14:textId="4C569E1F" w:rsidR="00D267E7" w:rsidRPr="00921EC5" w:rsidRDefault="00D267E7" w:rsidP="00921EC5">
      <w:pPr>
        <w:pStyle w:val="EndnoteText"/>
        <w:jc w:val="both"/>
        <w:rPr>
          <w:rFonts w:ascii="Avenir Book" w:hAnsi="Avenir Book"/>
          <w:i/>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color w:val="000000" w:themeColor="text1"/>
          <w:sz w:val="18"/>
          <w:szCs w:val="18"/>
        </w:rPr>
        <w:t xml:space="preserve">Backus &amp; Marcus,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_Ref62810862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67</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1062.</w:t>
      </w:r>
    </w:p>
  </w:endnote>
  <w:endnote w:id="203">
    <w:p w14:paraId="01BEA667" w14:textId="55F78A9B"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Const. Proj., Justice Denied,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85, at 61.</w:t>
      </w:r>
    </w:p>
  </w:endnote>
  <w:endnote w:id="204">
    <w:p w14:paraId="0A0265E2" w14:textId="0B09BD0F" w:rsidR="00D267E7" w:rsidRPr="00921EC5" w:rsidRDefault="00D267E7" w:rsidP="00921EC5">
      <w:pPr>
        <w:pStyle w:val="EndnoteText"/>
        <w:jc w:val="both"/>
        <w:rPr>
          <w:rFonts w:ascii="Avenir Book" w:hAnsi="Avenir Book"/>
          <w:i/>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color w:val="000000" w:themeColor="text1"/>
          <w:sz w:val="18"/>
          <w:szCs w:val="18"/>
        </w:rPr>
        <w:t xml:space="preserve">Backus &amp; Marcus,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_Ref62810862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67</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1062.</w:t>
      </w:r>
    </w:p>
  </w:endnote>
  <w:endnote w:id="205">
    <w:p w14:paraId="7443819F" w14:textId="5A23AE4F"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See also</w:t>
      </w:r>
      <w:r w:rsidRPr="00921EC5">
        <w:rPr>
          <w:rFonts w:ascii="Avenir Book" w:hAnsi="Avenir Book"/>
          <w:color w:val="000000" w:themeColor="text1"/>
          <w:sz w:val="18"/>
          <w:szCs w:val="18"/>
        </w:rPr>
        <w:t xml:space="preserve">, Newsletter, </w:t>
      </w:r>
      <w:r w:rsidRPr="00921EC5">
        <w:rPr>
          <w:rFonts w:ascii="Avenir Book" w:hAnsi="Avenir Book"/>
          <w:i/>
          <w:color w:val="000000" w:themeColor="text1"/>
          <w:sz w:val="18"/>
          <w:szCs w:val="18"/>
        </w:rPr>
        <w:t>T</w:t>
      </w:r>
      <w:r w:rsidRPr="00921EC5">
        <w:rPr>
          <w:rFonts w:ascii="Avenir Book" w:hAnsi="Avenir Book"/>
          <w:bCs/>
          <w:i/>
          <w:color w:val="000000" w:themeColor="text1"/>
          <w:sz w:val="18"/>
          <w:szCs w:val="18"/>
        </w:rPr>
        <w:t>he high costs of low pay for public defenders</w:t>
      </w:r>
      <w:r w:rsidRPr="00921EC5">
        <w:rPr>
          <w:rFonts w:ascii="Avenir Book" w:hAnsi="Avenir Book"/>
          <w:bCs/>
          <w:color w:val="000000" w:themeColor="text1"/>
          <w:sz w:val="18"/>
          <w:szCs w:val="18"/>
        </w:rPr>
        <w:t xml:space="preserve">, </w:t>
      </w:r>
      <w:r w:rsidRPr="00921EC5">
        <w:rPr>
          <w:rFonts w:ascii="Avenir Book" w:hAnsi="Avenir Book"/>
          <w:smallCaps/>
          <w:color w:val="000000" w:themeColor="text1"/>
          <w:sz w:val="18"/>
          <w:szCs w:val="18"/>
        </w:rPr>
        <w:t>The Appeal</w:t>
      </w:r>
      <w:r w:rsidRPr="00921EC5">
        <w:rPr>
          <w:rFonts w:ascii="Avenir Book" w:hAnsi="Avenir Book"/>
          <w:color w:val="000000" w:themeColor="text1"/>
          <w:sz w:val="18"/>
          <w:szCs w:val="18"/>
        </w:rPr>
        <w:t xml:space="preserve"> (</w:t>
      </w:r>
      <w:r w:rsidRPr="00921EC5">
        <w:rPr>
          <w:rFonts w:ascii="Avenir Book" w:hAnsi="Avenir Book"/>
          <w:bCs/>
          <w:color w:val="000000" w:themeColor="text1"/>
          <w:sz w:val="18"/>
          <w:szCs w:val="18"/>
        </w:rPr>
        <w:t xml:space="preserve">Nov. 2018), </w:t>
      </w:r>
      <w:hyperlink r:id="rId25" w:history="1">
        <w:r w:rsidRPr="00921EC5">
          <w:rPr>
            <w:rStyle w:val="Hyperlink"/>
            <w:rFonts w:ascii="Avenir Book" w:hAnsi="Avenir Book"/>
            <w:color w:val="000000" w:themeColor="text1"/>
            <w:sz w:val="18"/>
            <w:szCs w:val="18"/>
          </w:rPr>
          <w:t>https://theappeal.org/the-high-costs-of-low-pay-for-public-defenders</w:t>
        </w:r>
      </w:hyperlink>
      <w:r w:rsidRPr="00921EC5">
        <w:rPr>
          <w:rFonts w:ascii="Avenir Book" w:hAnsi="Avenir Book"/>
          <w:color w:val="000000" w:themeColor="text1"/>
          <w:sz w:val="18"/>
          <w:szCs w:val="18"/>
        </w:rPr>
        <w:t xml:space="preserve"> (accessed 1/26/2021); Roberto Roldan, </w:t>
      </w:r>
      <w:r w:rsidRPr="00921EC5">
        <w:rPr>
          <w:rFonts w:ascii="Avenir Book" w:hAnsi="Avenir Book"/>
          <w:i/>
          <w:color w:val="000000" w:themeColor="text1"/>
          <w:sz w:val="18"/>
          <w:szCs w:val="18"/>
        </w:rPr>
        <w:t>Bill to Increase Pay Parity Among VA Prosecutors and Public Defenders Dies, but Fight Continues</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VPM NPR News</w:t>
      </w:r>
      <w:r w:rsidRPr="00921EC5">
        <w:rPr>
          <w:rFonts w:ascii="Avenir Book" w:hAnsi="Avenir Book"/>
          <w:color w:val="000000" w:themeColor="text1"/>
          <w:sz w:val="18"/>
          <w:szCs w:val="18"/>
        </w:rPr>
        <w:t xml:space="preserve"> (Mar. 5, 2020), </w:t>
      </w:r>
      <w:hyperlink r:id="rId26" w:history="1">
        <w:r w:rsidRPr="00921EC5">
          <w:rPr>
            <w:rStyle w:val="Hyperlink"/>
            <w:rFonts w:ascii="Avenir Book" w:hAnsi="Avenir Book"/>
            <w:color w:val="000000" w:themeColor="text1"/>
            <w:sz w:val="18"/>
            <w:szCs w:val="18"/>
          </w:rPr>
          <w:t>https://vpm.org/news/articles/11229/bill-to-increase-pay-parity-among-va-prosecutors-and-public-defenders-dies-but</w:t>
        </w:r>
      </w:hyperlink>
      <w:r w:rsidRPr="00921EC5">
        <w:rPr>
          <w:rFonts w:ascii="Avenir Book" w:hAnsi="Avenir Book"/>
          <w:color w:val="000000" w:themeColor="text1"/>
          <w:sz w:val="18"/>
          <w:szCs w:val="18"/>
        </w:rPr>
        <w:t xml:space="preserve"> (accessed 1/26/2021); Noah Goldberg, </w:t>
      </w:r>
      <w:r w:rsidRPr="00921EC5">
        <w:rPr>
          <w:rFonts w:ascii="Avenir Book" w:hAnsi="Avenir Book"/>
          <w:i/>
          <w:color w:val="000000" w:themeColor="text1"/>
          <w:sz w:val="18"/>
          <w:szCs w:val="18"/>
        </w:rPr>
        <w:t>NYC public defenders to get pay parity with city lawyers</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Brooklyn Daily Eagle</w:t>
      </w:r>
      <w:r w:rsidRPr="00921EC5">
        <w:rPr>
          <w:rFonts w:ascii="Avenir Book" w:hAnsi="Avenir Book"/>
          <w:color w:val="000000" w:themeColor="text1"/>
          <w:sz w:val="18"/>
          <w:szCs w:val="18"/>
        </w:rPr>
        <w:t xml:space="preserve"> (June 14, 2019), </w:t>
      </w:r>
      <w:hyperlink r:id="rId27" w:history="1">
        <w:r w:rsidRPr="00921EC5">
          <w:rPr>
            <w:rStyle w:val="Hyperlink"/>
            <w:rFonts w:ascii="Avenir Book" w:hAnsi="Avenir Book"/>
            <w:color w:val="000000" w:themeColor="text1"/>
            <w:sz w:val="18"/>
            <w:szCs w:val="18"/>
          </w:rPr>
          <w:t>https://brooklyneagle.com/articles/2019/06/14/citys-public-defenders-to-get-pay-parity-with-city-lawyers/</w:t>
        </w:r>
      </w:hyperlink>
      <w:r w:rsidRPr="00921EC5">
        <w:rPr>
          <w:rStyle w:val="Hyperlink"/>
          <w:rFonts w:ascii="Avenir Book" w:hAnsi="Avenir Book"/>
          <w:color w:val="000000" w:themeColor="text1"/>
          <w:sz w:val="18"/>
          <w:szCs w:val="18"/>
          <w:u w:val="none"/>
        </w:rPr>
        <w:t xml:space="preserve"> (accessed</w:t>
      </w:r>
      <w:r w:rsidRPr="00921EC5">
        <w:rPr>
          <w:rFonts w:ascii="Avenir Book" w:hAnsi="Avenir Book"/>
          <w:color w:val="000000" w:themeColor="text1"/>
          <w:sz w:val="18"/>
          <w:szCs w:val="18"/>
        </w:rPr>
        <w:t xml:space="preserve"> 1/26/2021).</w:t>
      </w:r>
    </w:p>
  </w:endnote>
  <w:endnote w:id="206">
    <w:p w14:paraId="190B45E1" w14:textId="0AFE037A"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Const. Proj., Justice Denied,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85, at 63.</w:t>
      </w:r>
    </w:p>
  </w:endnote>
  <w:endnote w:id="207">
    <w:p w14:paraId="60848ABD" w14:textId="2A73BE1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208">
    <w:p w14:paraId="57CB6696" w14:textId="01DC0950"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Nicholas Chrastil, </w:t>
      </w:r>
      <w:r w:rsidRPr="00921EC5">
        <w:rPr>
          <w:rFonts w:ascii="Avenir Book" w:hAnsi="Avenir Book"/>
          <w:i/>
          <w:color w:val="000000" w:themeColor="text1"/>
          <w:sz w:val="18"/>
          <w:szCs w:val="18"/>
        </w:rPr>
        <w:t>City Council Passes Ordinance Bringing Public Defender Budget Closer to DA’s Office</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The Lens </w:t>
      </w:r>
      <w:r w:rsidRPr="00921EC5">
        <w:rPr>
          <w:rFonts w:ascii="Avenir Book" w:hAnsi="Avenir Book"/>
          <w:color w:val="000000" w:themeColor="text1"/>
          <w:sz w:val="18"/>
          <w:szCs w:val="18"/>
        </w:rPr>
        <w:t xml:space="preserve">(Aug. 20, 2020), </w:t>
      </w:r>
      <w:hyperlink r:id="rId28">
        <w:r w:rsidRPr="00921EC5">
          <w:rPr>
            <w:rFonts w:ascii="Avenir Book" w:hAnsi="Avenir Book"/>
            <w:color w:val="000000" w:themeColor="text1"/>
            <w:sz w:val="18"/>
            <w:szCs w:val="18"/>
            <w:u w:val="single"/>
          </w:rPr>
          <w:t>https://thelensnola.org/2020/08/20/city-council-passes-ordinance-bringing-public-defender-budget-closer-to-das-office/</w:t>
        </w:r>
      </w:hyperlink>
    </w:p>
  </w:endnote>
  <w:endnote w:id="209">
    <w:p w14:paraId="312B7CA2" w14:textId="0188F172"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Wright,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note 195, at 232.</w:t>
      </w:r>
    </w:p>
  </w:endnote>
  <w:endnote w:id="210">
    <w:p w14:paraId="6C591B28" w14:textId="2FAB5FEC"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ABA Standing Comm. On Legal Aid and Indigent Defendants</w:t>
      </w:r>
      <w:r w:rsidRPr="00921EC5">
        <w:rPr>
          <w:rFonts w:ascii="Avenir Book" w:hAnsi="Avenir Book"/>
          <w:color w:val="000000" w:themeColor="text1"/>
          <w:sz w:val="18"/>
          <w:szCs w:val="18"/>
        </w:rPr>
        <w:t>,</w:t>
      </w:r>
      <w:r w:rsidRPr="00921EC5">
        <w:rPr>
          <w:rFonts w:ascii="Avenir Book" w:hAnsi="Avenir Book"/>
          <w:i/>
          <w:color w:val="000000" w:themeColor="text1"/>
          <w:sz w:val="18"/>
          <w:szCs w:val="18"/>
        </w:rPr>
        <w:t xml:space="preserve"> 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_Ref62729658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21</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3.</w:t>
      </w:r>
    </w:p>
  </w:endnote>
  <w:endnote w:id="211">
    <w:p w14:paraId="3173B23C" w14:textId="4A8E6E6C"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212">
    <w:p w14:paraId="3E89866F" w14:textId="0226A381"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Advisory Comm. on Servs. to Indigent Criminal Defendants,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_Ref62734686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12</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88-89.</w:t>
      </w:r>
    </w:p>
  </w:endnote>
  <w:endnote w:id="213">
    <w:p w14:paraId="3CF7139C" w14:textId="7B00E194"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color w:val="000000" w:themeColor="text1"/>
          <w:sz w:val="18"/>
          <w:szCs w:val="18"/>
        </w:rPr>
        <w:t xml:space="preserve">Wright,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195, at 230.</w:t>
      </w:r>
    </w:p>
  </w:endnote>
  <w:endnote w:id="214">
    <w:p w14:paraId="6DB825DB" w14:textId="2AC147C3"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Backus &amp; Marcus,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_Ref62810862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67</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1062.</w:t>
      </w:r>
    </w:p>
  </w:endnote>
  <w:endnote w:id="215">
    <w:p w14:paraId="4C9128C3" w14:textId="49F62C83" w:rsidR="00D267E7" w:rsidRPr="00921EC5" w:rsidRDefault="00D267E7" w:rsidP="00921EC5">
      <w:pPr>
        <w:pStyle w:val="EndnoteText"/>
        <w:jc w:val="both"/>
        <w:rPr>
          <w:rFonts w:ascii="Avenir Book" w:hAnsi="Avenir Book"/>
          <w:i/>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color w:val="000000" w:themeColor="text1"/>
          <w:sz w:val="18"/>
          <w:szCs w:val="18"/>
        </w:rPr>
        <w:t xml:space="preserve">Wright,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195, at 230.</w:t>
      </w:r>
    </w:p>
  </w:endnote>
  <w:endnote w:id="216">
    <w:p w14:paraId="77D59162" w14:textId="75B7A962"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Const. Proj., Justice Denied,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85, at 63.</w:t>
      </w:r>
    </w:p>
  </w:endnote>
  <w:endnote w:id="217">
    <w:p w14:paraId="573766EB" w14:textId="6BA8D760"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Wright,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195, at 233.</w:t>
      </w:r>
    </w:p>
  </w:endnote>
  <w:endnote w:id="218">
    <w:p w14:paraId="03742B34" w14:textId="356907B1" w:rsidR="00D267E7" w:rsidRPr="00921EC5" w:rsidRDefault="00D267E7" w:rsidP="00921EC5">
      <w:pPr>
        <w:pStyle w:val="EndnoteText"/>
        <w:jc w:val="both"/>
        <w:rPr>
          <w:rFonts w:ascii="Avenir Book" w:hAnsi="Avenir Book"/>
          <w:i/>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color w:val="000000" w:themeColor="text1"/>
          <w:sz w:val="18"/>
          <w:szCs w:val="18"/>
        </w:rPr>
        <w:t xml:space="preserve">Backus &amp; Marcus,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_Ref62810862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67</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1062.</w:t>
      </w:r>
    </w:p>
  </w:endnote>
  <w:endnote w:id="219">
    <w:p w14:paraId="1AAA1799" w14:textId="3B42D096"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Chrastil,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note 207</w:t>
      </w:r>
      <w:r w:rsidRPr="00921EC5">
        <w:rPr>
          <w:rFonts w:ascii="Avenir Book" w:hAnsi="Avenir Book"/>
          <w:color w:val="000000" w:themeColor="text1"/>
          <w:sz w:val="18"/>
          <w:szCs w:val="18"/>
          <w:u w:val="single"/>
        </w:rPr>
        <w:t>.</w:t>
      </w:r>
    </w:p>
  </w:endnote>
  <w:endnote w:id="220">
    <w:p w14:paraId="71082818" w14:textId="4BE041DF"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i/>
          <w:color w:val="000000" w:themeColor="text1"/>
          <w:sz w:val="18"/>
          <w:szCs w:val="18"/>
        </w:rPr>
        <w:t>See,</w:t>
      </w:r>
      <w:r>
        <w:rPr>
          <w:rFonts w:ascii="Avenir Book" w:hAnsi="Avenir Book"/>
          <w:i/>
          <w:color w:val="000000" w:themeColor="text1"/>
          <w:sz w:val="18"/>
          <w:szCs w:val="18"/>
        </w:rPr>
        <w:t xml:space="preserve"> </w:t>
      </w:r>
      <w:r w:rsidRPr="00921EC5">
        <w:rPr>
          <w:rFonts w:ascii="Avenir Book" w:hAnsi="Avenir Book"/>
          <w:i/>
          <w:color w:val="000000" w:themeColor="text1"/>
          <w:sz w:val="18"/>
          <w:szCs w:val="18"/>
        </w:rPr>
        <w:t>e.g.</w:t>
      </w:r>
      <w:r w:rsidRPr="00921EC5">
        <w:rPr>
          <w:rFonts w:ascii="Avenir Book" w:hAnsi="Avenir Book"/>
          <w:color w:val="000000" w:themeColor="text1"/>
          <w:sz w:val="18"/>
          <w:szCs w:val="18"/>
        </w:rPr>
        <w:t>, Furst</w:t>
      </w:r>
      <w:r w:rsidRPr="00921EC5">
        <w:rPr>
          <w:rFonts w:ascii="Avenir Book" w:hAnsi="Avenir Book"/>
          <w:smallCaps/>
          <w:color w:val="000000" w:themeColor="text1"/>
          <w:sz w:val="18"/>
          <w:szCs w:val="18"/>
        </w:rPr>
        <w:t xml:space="preserv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181, at 9; </w:t>
      </w:r>
      <w:r w:rsidRPr="00921EC5">
        <w:rPr>
          <w:rFonts w:ascii="Avenir Book" w:hAnsi="Avenir Book"/>
          <w:smallCaps/>
          <w:color w:val="000000" w:themeColor="text1"/>
          <w:sz w:val="18"/>
          <w:szCs w:val="18"/>
        </w:rPr>
        <w:t xml:space="preserve">Advisory Comm. on Servs. to Indigent Criminal Defendants,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_Ref62734686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12</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91.</w:t>
      </w:r>
    </w:p>
  </w:endnote>
  <w:endnote w:id="221">
    <w:p w14:paraId="60F71ED2" w14:textId="7BBB36A8"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Wallace &amp; Carroll</w:t>
      </w:r>
      <w:r w:rsidRPr="00921EC5">
        <w:rPr>
          <w:rFonts w:ascii="Avenir Book" w:hAnsi="Avenir Book"/>
          <w:smallCaps/>
          <w:color w:val="000000" w:themeColor="text1"/>
          <w:sz w:val="18"/>
          <w:szCs w:val="18"/>
        </w:rPr>
        <w:t xml:space="preserv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_Ref62813967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97</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13.</w:t>
      </w:r>
    </w:p>
  </w:endnote>
  <w:endnote w:id="222">
    <w:p w14:paraId="0366531B" w14:textId="285BA08E"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Const. Proj., Justice Denied: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85, at 93.</w:t>
      </w:r>
    </w:p>
  </w:endnote>
  <w:endnote w:id="223">
    <w:p w14:paraId="078EED1B" w14:textId="4985946A"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r w:rsidRPr="00921EC5">
        <w:rPr>
          <w:rFonts w:ascii="Avenir Book" w:hAnsi="Avenir Book"/>
          <w:color w:val="000000" w:themeColor="text1"/>
          <w:sz w:val="18"/>
          <w:szCs w:val="18"/>
        </w:rPr>
        <w:t xml:space="preserve"> at 93-94 (2009).</w:t>
      </w:r>
    </w:p>
  </w:endnote>
  <w:endnote w:id="224">
    <w:p w14:paraId="112AE46D" w14:textId="3A1750C6"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Advisory Comm. on Servs. to Indigent Criminal Defendants,</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_Ref62734686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12</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91.</w:t>
      </w:r>
    </w:p>
  </w:endnote>
  <w:endnote w:id="225">
    <w:p w14:paraId="3589E53E" w14:textId="406A4C58"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smallCaps/>
          <w:color w:val="000000" w:themeColor="text1"/>
          <w:sz w:val="18"/>
          <w:szCs w:val="18"/>
        </w:rPr>
        <w:t xml:space="preserve"> </w:t>
      </w:r>
      <w:r w:rsidRPr="00921EC5">
        <w:rPr>
          <w:rFonts w:ascii="Avenir Book" w:hAnsi="Avenir Book"/>
          <w:color w:val="000000" w:themeColor="text1"/>
          <w:sz w:val="18"/>
          <w:szCs w:val="18"/>
        </w:rPr>
        <w:t>Furst</w:t>
      </w:r>
      <w:r w:rsidRPr="00921EC5">
        <w:rPr>
          <w:rFonts w:ascii="Avenir Book" w:hAnsi="Avenir Book"/>
          <w:smallCaps/>
          <w:color w:val="000000" w:themeColor="text1"/>
          <w:sz w:val="18"/>
          <w:szCs w:val="18"/>
        </w:rPr>
        <w:t xml:space="preserv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181, at 8.</w:t>
      </w:r>
    </w:p>
  </w:endnote>
  <w:endnote w:id="226">
    <w:p w14:paraId="062C457B" w14:textId="70A97F95"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227">
    <w:p w14:paraId="6B723DDF"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Joseph J. Senna, </w:t>
      </w:r>
      <w:r w:rsidRPr="00921EC5">
        <w:rPr>
          <w:rFonts w:ascii="Avenir Book" w:hAnsi="Avenir Book"/>
          <w:i/>
          <w:color w:val="000000" w:themeColor="text1"/>
          <w:sz w:val="18"/>
          <w:szCs w:val="18"/>
        </w:rPr>
        <w:t>Social Workers in Public Defender Programs</w:t>
      </w:r>
      <w:r w:rsidRPr="00921EC5">
        <w:rPr>
          <w:rFonts w:ascii="Avenir Book" w:hAnsi="Avenir Book"/>
          <w:color w:val="000000" w:themeColor="text1"/>
          <w:sz w:val="18"/>
          <w:szCs w:val="18"/>
        </w:rPr>
        <w:t xml:space="preserve">, 20 </w:t>
      </w:r>
      <w:r w:rsidRPr="00921EC5">
        <w:rPr>
          <w:rFonts w:ascii="Avenir Book" w:hAnsi="Avenir Book"/>
          <w:smallCaps/>
          <w:color w:val="000000" w:themeColor="text1"/>
          <w:sz w:val="18"/>
          <w:szCs w:val="18"/>
        </w:rPr>
        <w:t>Soc. Work</w:t>
      </w:r>
      <w:r w:rsidRPr="00921EC5">
        <w:rPr>
          <w:rFonts w:ascii="Avenir Book" w:hAnsi="Avenir Book"/>
          <w:color w:val="000000" w:themeColor="text1"/>
          <w:sz w:val="18"/>
          <w:szCs w:val="18"/>
        </w:rPr>
        <w:t xml:space="preserve"> 271, 272 (1975).</w:t>
      </w:r>
    </w:p>
  </w:endnote>
  <w:endnote w:id="228">
    <w:p w14:paraId="18BC8B13" w14:textId="3844402C"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Advisory Comm. on Servs. to Indigent Criminal Defendants,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_Ref62734686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12</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93.</w:t>
      </w:r>
    </w:p>
  </w:endnote>
  <w:endnote w:id="229">
    <w:p w14:paraId="14302382" w14:textId="0BFFE37F"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230">
    <w:p w14:paraId="15CEF045" w14:textId="3C96D242"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smallCaps/>
          <w:color w:val="000000" w:themeColor="text1"/>
          <w:sz w:val="18"/>
          <w:szCs w:val="18"/>
        </w:rPr>
        <w:t xml:space="preserve">ABA Standing Comm. on Legal Aid and Indigent Defendants,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_Ref62729658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21</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3.</w:t>
      </w:r>
    </w:p>
  </w:endnote>
  <w:endnote w:id="231">
    <w:p w14:paraId="3EE449D4" w14:textId="1027634B"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Furst</w:t>
      </w:r>
      <w:r w:rsidRPr="00921EC5">
        <w:rPr>
          <w:rFonts w:ascii="Avenir Book" w:hAnsi="Avenir Book"/>
          <w:smallCaps/>
          <w:color w:val="000000" w:themeColor="text1"/>
          <w:sz w:val="18"/>
          <w:szCs w:val="18"/>
        </w:rPr>
        <w:t xml:space="preserv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181, at 9.</w:t>
      </w:r>
    </w:p>
  </w:endnote>
  <w:endnote w:id="232">
    <w:p w14:paraId="56F11DC9" w14:textId="1B575080"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i/>
          <w:color w:val="000000" w:themeColor="text1"/>
          <w:sz w:val="18"/>
          <w:szCs w:val="18"/>
        </w:rPr>
        <w:t xml:space="preserve"> See</w:t>
      </w:r>
      <w:r w:rsidRPr="00921EC5">
        <w:rPr>
          <w:rFonts w:ascii="Avenir Book" w:hAnsi="Avenir Book"/>
          <w:color w:val="000000" w:themeColor="text1"/>
          <w:sz w:val="18"/>
          <w:szCs w:val="18"/>
        </w:rPr>
        <w:t xml:space="preserve"> Wright,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195, at 231.</w:t>
      </w:r>
    </w:p>
  </w:endnote>
  <w:endnote w:id="233">
    <w:p w14:paraId="7B1084B4"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American Bar Ass’n Standing Comm. on Legal Aid and Indigent Defendants, Gideon’s Broken Promise: America’s Continuing Quest for Equal Justice</w:t>
      </w:r>
      <w:r w:rsidRPr="00921EC5">
        <w:rPr>
          <w:rFonts w:ascii="Avenir Book" w:hAnsi="Avenir Book"/>
          <w:color w:val="000000" w:themeColor="text1"/>
          <w:sz w:val="18"/>
          <w:szCs w:val="18"/>
        </w:rPr>
        <w:t xml:space="preserve"> 14 (2004).</w:t>
      </w:r>
    </w:p>
  </w:endnote>
  <w:endnote w:id="234">
    <w:p w14:paraId="43BFE1AE" w14:textId="1799C9B6"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Wright,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195, at</w:t>
      </w:r>
      <w:r w:rsidRPr="00921EC5" w:rsidDel="004B3981">
        <w:rPr>
          <w:rFonts w:ascii="Avenir Book" w:hAnsi="Avenir Book"/>
          <w:color w:val="000000" w:themeColor="text1"/>
          <w:sz w:val="18"/>
          <w:szCs w:val="18"/>
        </w:rPr>
        <w:t xml:space="preserve"> </w:t>
      </w:r>
      <w:r w:rsidRPr="00921EC5">
        <w:rPr>
          <w:rFonts w:ascii="Avenir Book" w:hAnsi="Avenir Book"/>
          <w:color w:val="000000" w:themeColor="text1"/>
          <w:sz w:val="18"/>
          <w:szCs w:val="18"/>
        </w:rPr>
        <w:t>236.</w:t>
      </w:r>
    </w:p>
  </w:endnote>
  <w:endnote w:id="235">
    <w:p w14:paraId="3341A674" w14:textId="5CF0B999"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236">
    <w:p w14:paraId="789B8C99" w14:textId="7F424CA5"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237">
    <w:p w14:paraId="026DCF55" w14:textId="213F2A31"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238">
    <w:p w14:paraId="49B7AC32" w14:textId="269BB369"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i/>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239">
    <w:p w14:paraId="2655DC79" w14:textId="1F1FC5A9" w:rsidR="00D267E7" w:rsidRPr="00921EC5" w:rsidRDefault="00D267E7" w:rsidP="00921EC5">
      <w:pPr>
        <w:pStyle w:val="EndnoteText"/>
        <w:jc w:val="both"/>
        <w:rPr>
          <w:rFonts w:ascii="Avenir Book" w:hAnsi="Avenir Book"/>
          <w:i/>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color w:val="000000" w:themeColor="text1"/>
          <w:sz w:val="18"/>
          <w:szCs w:val="18"/>
        </w:rPr>
        <w:t>Furst</w:t>
      </w:r>
      <w:r w:rsidRPr="00921EC5">
        <w:rPr>
          <w:rFonts w:ascii="Avenir Book" w:hAnsi="Avenir Book"/>
          <w:smallCaps/>
          <w:color w:val="000000" w:themeColor="text1"/>
          <w:sz w:val="18"/>
          <w:szCs w:val="18"/>
        </w:rPr>
        <w:t xml:space="preserv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181, at 9.</w:t>
      </w:r>
    </w:p>
  </w:endnote>
  <w:endnote w:id="240">
    <w:p w14:paraId="54841D56"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color w:val="000000" w:themeColor="text1"/>
          <w:sz w:val="18"/>
          <w:szCs w:val="18"/>
          <w:u w:val="single"/>
        </w:rPr>
        <w:t>Douglas v. California</w:t>
      </w:r>
      <w:r w:rsidRPr="00921EC5">
        <w:rPr>
          <w:rFonts w:ascii="Avenir Book" w:hAnsi="Avenir Book"/>
          <w:color w:val="000000" w:themeColor="text1"/>
          <w:sz w:val="18"/>
          <w:szCs w:val="18"/>
        </w:rPr>
        <w:t xml:space="preserve">, 372 U.S. 353, 355 (1963). </w:t>
      </w:r>
    </w:p>
  </w:endnote>
  <w:endnote w:id="241">
    <w:p w14:paraId="6B663FA3" w14:textId="66C716DA"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Joe,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_Ref62736251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73</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24.</w:t>
      </w:r>
    </w:p>
  </w:endnote>
  <w:endnote w:id="242">
    <w:p w14:paraId="4CA4306C" w14:textId="6BCB47DA"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Spangenberg &amp; Beeman,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note 182, at 44.</w:t>
      </w:r>
    </w:p>
  </w:endnote>
  <w:endnote w:id="243">
    <w:p w14:paraId="51E281C4" w14:textId="10162A85"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See Id.</w:t>
      </w:r>
      <w:r w:rsidRPr="00921EC5">
        <w:rPr>
          <w:rFonts w:ascii="Avenir Book" w:hAnsi="Avenir Book"/>
          <w:color w:val="000000" w:themeColor="text1"/>
          <w:sz w:val="18"/>
          <w:szCs w:val="18"/>
        </w:rPr>
        <w:t xml:space="preserve">  at 45.</w:t>
      </w:r>
    </w:p>
  </w:endnote>
  <w:endnote w:id="244">
    <w:p w14:paraId="79991092" w14:textId="0814604A"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r w:rsidRPr="00921EC5">
        <w:rPr>
          <w:rFonts w:ascii="Avenir Book" w:hAnsi="Avenir Book"/>
          <w:color w:val="000000" w:themeColor="text1"/>
          <w:sz w:val="18"/>
          <w:szCs w:val="18"/>
        </w:rPr>
        <w:t xml:space="preserve">  at 46.</w:t>
      </w:r>
    </w:p>
  </w:endnote>
  <w:endnote w:id="245">
    <w:p w14:paraId="001D9F1D" w14:textId="7D9821D7" w:rsidR="00D267E7" w:rsidRPr="00921EC5" w:rsidRDefault="00D267E7" w:rsidP="00921EC5">
      <w:pPr>
        <w:pStyle w:val="EndnoteText"/>
        <w:jc w:val="both"/>
        <w:rPr>
          <w:rFonts w:ascii="Avenir Book" w:hAnsi="Avenir Book"/>
          <w:i/>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See Id.</w:t>
      </w:r>
      <w:r w:rsidRPr="00921EC5">
        <w:rPr>
          <w:rFonts w:ascii="Avenir Book" w:hAnsi="Avenir Book"/>
          <w:color w:val="000000" w:themeColor="text1"/>
          <w:sz w:val="18"/>
          <w:szCs w:val="18"/>
        </w:rPr>
        <w:t xml:space="preserve"> at 45.</w:t>
      </w:r>
    </w:p>
  </w:endnote>
  <w:endnote w:id="246">
    <w:p w14:paraId="0B6DC892" w14:textId="3035C5D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Sixth Amendment Ctr.,</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New Jersey, How the right to counsel is administered and structured,</w:t>
      </w:r>
      <w:r w:rsidRPr="00921EC5">
        <w:rPr>
          <w:rFonts w:ascii="Avenir Book" w:hAnsi="Avenir Book"/>
          <w:color w:val="000000" w:themeColor="text1"/>
          <w:sz w:val="18"/>
          <w:szCs w:val="18"/>
        </w:rPr>
        <w:t xml:space="preserve"> </w:t>
      </w:r>
      <w:hyperlink r:id="rId29" w:history="1">
        <w:r w:rsidRPr="00921EC5">
          <w:rPr>
            <w:rStyle w:val="Hyperlink"/>
            <w:rFonts w:ascii="Avenir Book" w:hAnsi="Avenir Book"/>
            <w:color w:val="000000" w:themeColor="text1"/>
            <w:sz w:val="18"/>
            <w:szCs w:val="18"/>
          </w:rPr>
          <w:t>https://sixthamendment.org/know-your-state/new-jersey/</w:t>
        </w:r>
      </w:hyperlink>
      <w:r w:rsidRPr="00921EC5">
        <w:rPr>
          <w:rFonts w:ascii="Avenir Book" w:hAnsi="Avenir Book"/>
          <w:color w:val="000000" w:themeColor="text1"/>
          <w:sz w:val="18"/>
          <w:szCs w:val="18"/>
        </w:rPr>
        <w:t xml:space="preserve">  (last accessed Nov. 8, 2020).</w:t>
      </w:r>
    </w:p>
  </w:endnote>
  <w:endnote w:id="247">
    <w:p w14:paraId="1298EBD0" w14:textId="5D22DD38" w:rsidR="00D267E7" w:rsidRPr="00921EC5" w:rsidRDefault="00D267E7" w:rsidP="00921EC5">
      <w:pPr>
        <w:pStyle w:val="EndnoteText"/>
        <w:tabs>
          <w:tab w:val="left" w:pos="7290"/>
        </w:tabs>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Interviews, </w:t>
      </w:r>
      <w:r w:rsidRPr="00921EC5">
        <w:rPr>
          <w:rFonts w:ascii="Avenir Book" w:hAnsi="Avenir Book"/>
          <w:i/>
          <w:iCs/>
          <w:color w:val="000000" w:themeColor="text1"/>
          <w:sz w:val="18"/>
          <w:szCs w:val="18"/>
        </w:rPr>
        <w:t>supra</w:t>
      </w:r>
      <w:r w:rsidRPr="00921EC5">
        <w:rPr>
          <w:rFonts w:ascii="Avenir Book" w:hAnsi="Avenir Book"/>
          <w:color w:val="000000" w:themeColor="text1"/>
          <w:sz w:val="18"/>
          <w:szCs w:val="18"/>
        </w:rPr>
        <w:t xml:space="preserve"> note 91.</w:t>
      </w:r>
    </w:p>
  </w:endnote>
  <w:endnote w:id="248">
    <w:p w14:paraId="0F9B45C2" w14:textId="3DAA7DC1"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249">
    <w:p w14:paraId="3A232535" w14:textId="36515461"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250">
    <w:p w14:paraId="71572EE8" w14:textId="5D8BCA5D"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251">
    <w:p w14:paraId="51B7AA82" w14:textId="75AD152C"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color w:val="000000" w:themeColor="text1"/>
          <w:sz w:val="18"/>
          <w:szCs w:val="18"/>
          <w:u w:val="single"/>
        </w:rPr>
        <w:t>Bender v. Wisconsin</w:t>
      </w:r>
      <w:r w:rsidRPr="00921EC5">
        <w:rPr>
          <w:rFonts w:ascii="Avenir Book" w:hAnsi="Avenir Book"/>
          <w:color w:val="000000" w:themeColor="text1"/>
          <w:sz w:val="18"/>
          <w:szCs w:val="18"/>
        </w:rPr>
        <w:t>, No. 19-CV-29-WMC, 2019 WL 4466973, at *1 (W.D. Wis. Sept. 18, 2019).</w:t>
      </w:r>
    </w:p>
  </w:endnote>
  <w:endnote w:id="252">
    <w:p w14:paraId="3F37C789" w14:textId="4DC6E632"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253">
    <w:p w14:paraId="6B874B70"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color w:val="000000" w:themeColor="text1"/>
          <w:sz w:val="18"/>
          <w:szCs w:val="18"/>
          <w:u w:val="single"/>
        </w:rPr>
        <w:t>Sprint Communications, Inc. v. Jacobs</w:t>
      </w:r>
      <w:r w:rsidRPr="00921EC5">
        <w:rPr>
          <w:rFonts w:ascii="Avenir Book" w:hAnsi="Avenir Book"/>
          <w:color w:val="000000" w:themeColor="text1"/>
          <w:sz w:val="18"/>
          <w:szCs w:val="18"/>
        </w:rPr>
        <w:t>, 134 S. Ct. 584 (2013</w:t>
      </w:r>
      <w:r w:rsidRPr="00921EC5">
        <w:rPr>
          <w:rFonts w:ascii="Avenir Book" w:hAnsi="Avenir Book"/>
          <w:color w:val="000000" w:themeColor="text1"/>
          <w:sz w:val="18"/>
          <w:szCs w:val="18"/>
        </w:rPr>
        <w:t>) .</w:t>
      </w:r>
    </w:p>
  </w:endnote>
  <w:endnote w:id="254">
    <w:p w14:paraId="3C6DB53F"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255">
    <w:p w14:paraId="101A6C45" w14:textId="4693EDC5"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Cs/>
          <w:color w:val="000000" w:themeColor="text1"/>
          <w:sz w:val="18"/>
          <w:szCs w:val="18"/>
          <w:u w:val="single"/>
        </w:rPr>
        <w:t>Bender</w:t>
      </w:r>
      <w:r w:rsidRPr="00921EC5">
        <w:rPr>
          <w:rFonts w:ascii="Avenir Book" w:hAnsi="Avenir Book"/>
          <w:color w:val="000000" w:themeColor="text1"/>
          <w:sz w:val="18"/>
          <w:szCs w:val="18"/>
        </w:rPr>
        <w:t>, 2019 WL 4466973, at *4.</w:t>
      </w:r>
    </w:p>
  </w:endnote>
  <w:endnote w:id="256">
    <w:p w14:paraId="53B8F04B" w14:textId="6D57E152"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color w:val="000000" w:themeColor="text1"/>
          <w:sz w:val="18"/>
          <w:szCs w:val="18"/>
          <w:u w:val="single"/>
        </w:rPr>
        <w:t>Yarls v. Bunton</w:t>
      </w:r>
      <w:r w:rsidRPr="00921EC5">
        <w:rPr>
          <w:rFonts w:ascii="Avenir Book" w:hAnsi="Avenir Book"/>
          <w:color w:val="000000" w:themeColor="text1"/>
          <w:sz w:val="18"/>
          <w:szCs w:val="18"/>
        </w:rPr>
        <w:t>, 905 F.3d 905, 912 (5th Cir. 2018).</w:t>
      </w:r>
    </w:p>
  </w:endnote>
  <w:endnote w:id="257">
    <w:p w14:paraId="6A9DB2B6" w14:textId="15C2CDA5"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iCs/>
          <w:color w:val="000000" w:themeColor="text1"/>
          <w:sz w:val="18"/>
          <w:szCs w:val="18"/>
        </w:rPr>
        <w:t>Id.</w:t>
      </w:r>
    </w:p>
  </w:endnote>
  <w:endnote w:id="258">
    <w:p w14:paraId="0D19ACDD" w14:textId="0C24A5F2"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This was, in fact, the argument raised by the </w:t>
      </w:r>
      <w:r w:rsidRPr="00921EC5">
        <w:rPr>
          <w:rFonts w:ascii="Avenir Book" w:hAnsi="Avenir Book"/>
          <w:i/>
          <w:color w:val="000000" w:themeColor="text1"/>
          <w:sz w:val="18"/>
          <w:szCs w:val="18"/>
        </w:rPr>
        <w:t>Yarls</w:t>
      </w:r>
      <w:r w:rsidRPr="00921EC5">
        <w:rPr>
          <w:rFonts w:ascii="Avenir Book" w:hAnsi="Avenir Book"/>
          <w:color w:val="000000" w:themeColor="text1"/>
          <w:sz w:val="18"/>
          <w:szCs w:val="18"/>
        </w:rPr>
        <w:t xml:space="preserve"> plaintiffs in their application for appeal. The question was not resolved in the court’s denial of the application, as the court leaned on the alternative ground of Article III non-justiciability to justify denying the appeal. </w:t>
      </w:r>
      <w:r w:rsidRPr="00921EC5">
        <w:rPr>
          <w:rFonts w:ascii="Avenir Book" w:hAnsi="Avenir Book"/>
          <w:i/>
          <w:iCs/>
          <w:color w:val="000000" w:themeColor="text1"/>
          <w:sz w:val="18"/>
          <w:szCs w:val="18"/>
        </w:rPr>
        <w:t>See Id</w:t>
      </w:r>
      <w:r w:rsidRPr="00921EC5">
        <w:rPr>
          <w:rFonts w:ascii="Avenir Book" w:hAnsi="Avenir Book"/>
          <w:color w:val="000000" w:themeColor="text1"/>
          <w:sz w:val="18"/>
          <w:szCs w:val="18"/>
        </w:rPr>
        <w:t>.</w:t>
      </w:r>
    </w:p>
  </w:endnote>
  <w:endnote w:id="259">
    <w:p w14:paraId="272D6EA4" w14:textId="2B13416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Cs/>
          <w:color w:val="000000" w:themeColor="text1"/>
          <w:sz w:val="18"/>
          <w:szCs w:val="18"/>
          <w:u w:val="single"/>
        </w:rPr>
        <w:t>Kuren</w:t>
      </w:r>
      <w:r w:rsidRPr="00921EC5">
        <w:rPr>
          <w:rFonts w:ascii="Avenir Book" w:hAnsi="Avenir Book"/>
          <w:color w:val="000000" w:themeColor="text1"/>
          <w:sz w:val="18"/>
          <w:szCs w:val="18"/>
        </w:rPr>
        <w:t>, 146 A.3d at 719.</w:t>
      </w:r>
    </w:p>
  </w:endnote>
  <w:endnote w:id="260">
    <w:p w14:paraId="14FA5509" w14:textId="2E9F40D9"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261">
    <w:p w14:paraId="629CEA5F"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The suit also listed a cause of action under 42 U.S.C. §1983.</w:t>
      </w:r>
    </w:p>
  </w:endnote>
  <w:endnote w:id="262">
    <w:p w14:paraId="38D82FE1" w14:textId="2EE3355E"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color w:val="000000" w:themeColor="text1"/>
          <w:sz w:val="18"/>
          <w:szCs w:val="18"/>
          <w:u w:val="single"/>
        </w:rPr>
        <w:t>Kuren</w:t>
      </w:r>
      <w:r w:rsidRPr="00921EC5">
        <w:rPr>
          <w:rFonts w:ascii="Avenir Book" w:hAnsi="Avenir Book"/>
          <w:color w:val="000000" w:themeColor="text1"/>
          <w:sz w:val="18"/>
          <w:szCs w:val="18"/>
        </w:rPr>
        <w:t xml:space="preserve"> at 146 A.3d at 718.</w:t>
      </w:r>
    </w:p>
  </w:endnote>
  <w:endnote w:id="263">
    <w:p w14:paraId="58B19DC2" w14:textId="73094E9D"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r w:rsidRPr="00921EC5">
        <w:rPr>
          <w:rFonts w:ascii="Avenir Book" w:hAnsi="Avenir Book"/>
          <w:color w:val="000000" w:themeColor="text1"/>
          <w:sz w:val="18"/>
          <w:szCs w:val="18"/>
        </w:rPr>
        <w:t xml:space="preserve"> at 730.</w:t>
      </w:r>
    </w:p>
  </w:endnote>
  <w:endnote w:id="264">
    <w:p w14:paraId="1B346507" w14:textId="159536CF"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Wallace &amp; Carroll</w:t>
      </w:r>
      <w:r w:rsidRPr="00921EC5">
        <w:rPr>
          <w:rFonts w:ascii="Avenir Book" w:hAnsi="Avenir Book"/>
          <w:smallCaps/>
          <w:color w:val="000000" w:themeColor="text1"/>
          <w:sz w:val="18"/>
          <w:szCs w:val="18"/>
        </w:rPr>
        <w:t xml:space="preserv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_Ref62813967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97</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19.</w:t>
      </w:r>
    </w:p>
  </w:endnote>
  <w:endnote w:id="265">
    <w:p w14:paraId="4414900A"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Donald J. Farole, Jr. &amp; Lynn Langton, </w:t>
      </w:r>
      <w:r w:rsidRPr="00921EC5">
        <w:rPr>
          <w:rFonts w:ascii="Avenir Book" w:hAnsi="Avenir Book"/>
          <w:i/>
          <w:color w:val="000000" w:themeColor="text1"/>
          <w:sz w:val="18"/>
          <w:szCs w:val="18"/>
        </w:rPr>
        <w:t>A National Assessment of Public Defender Office Caseloads</w:t>
      </w:r>
      <w:r w:rsidRPr="00921EC5">
        <w:rPr>
          <w:rFonts w:ascii="Avenir Book" w:hAnsi="Avenir Book"/>
          <w:color w:val="000000" w:themeColor="text1"/>
          <w:sz w:val="18"/>
          <w:szCs w:val="18"/>
        </w:rPr>
        <w:t xml:space="preserve">, 94 </w:t>
      </w:r>
      <w:r w:rsidRPr="00921EC5">
        <w:rPr>
          <w:rFonts w:ascii="Avenir Book" w:hAnsi="Avenir Book"/>
          <w:smallCaps/>
          <w:color w:val="000000" w:themeColor="text1"/>
          <w:sz w:val="18"/>
          <w:szCs w:val="18"/>
        </w:rPr>
        <w:t xml:space="preserve">Judicature </w:t>
      </w:r>
      <w:r w:rsidRPr="00921EC5">
        <w:rPr>
          <w:rFonts w:ascii="Avenir Book" w:hAnsi="Avenir Book"/>
          <w:color w:val="000000" w:themeColor="text1"/>
          <w:sz w:val="18"/>
          <w:szCs w:val="18"/>
        </w:rPr>
        <w:t>87, 87 (2010).</w:t>
      </w:r>
    </w:p>
  </w:endnote>
  <w:endnote w:id="266">
    <w:p w14:paraId="63E6A8F2"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Carrie Dvorak Brennan, </w:t>
      </w:r>
      <w:r w:rsidRPr="00921EC5">
        <w:rPr>
          <w:rFonts w:ascii="Avenir Book" w:hAnsi="Avenir Book"/>
          <w:i/>
          <w:color w:val="000000" w:themeColor="text1"/>
          <w:sz w:val="18"/>
          <w:szCs w:val="18"/>
        </w:rPr>
        <w:t>The Public Defender System: A Comparative Assessment</w:t>
      </w:r>
      <w:r w:rsidRPr="00921EC5">
        <w:rPr>
          <w:rFonts w:ascii="Avenir Book" w:hAnsi="Avenir Book"/>
          <w:color w:val="000000" w:themeColor="text1"/>
          <w:sz w:val="18"/>
          <w:szCs w:val="18"/>
        </w:rPr>
        <w:t xml:space="preserve">, 25 </w:t>
      </w:r>
      <w:r w:rsidRPr="00921EC5">
        <w:rPr>
          <w:rFonts w:ascii="Avenir Book" w:hAnsi="Avenir Book"/>
          <w:smallCaps/>
          <w:color w:val="000000" w:themeColor="text1"/>
          <w:sz w:val="18"/>
          <w:szCs w:val="18"/>
        </w:rPr>
        <w:t>Ind. Int’l &amp; Comp. L. Rev.</w:t>
      </w:r>
      <w:r w:rsidRPr="00921EC5">
        <w:rPr>
          <w:rFonts w:ascii="Avenir Book" w:hAnsi="Avenir Book"/>
          <w:color w:val="000000" w:themeColor="text1"/>
          <w:sz w:val="18"/>
          <w:szCs w:val="18"/>
        </w:rPr>
        <w:t xml:space="preserve"> 237, 247 (2015).</w:t>
      </w:r>
    </w:p>
  </w:endnote>
  <w:endnote w:id="267">
    <w:p w14:paraId="22EC3989" w14:textId="1CFC2ACB"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r w:rsidRPr="00921EC5">
        <w:rPr>
          <w:rFonts w:ascii="Avenir Book" w:hAnsi="Avenir Book"/>
          <w:color w:val="000000" w:themeColor="text1"/>
          <w:sz w:val="18"/>
          <w:szCs w:val="18"/>
        </w:rPr>
        <w:t xml:space="preserve"> at 247-48.</w:t>
      </w:r>
    </w:p>
  </w:endnote>
  <w:endnote w:id="268">
    <w:p w14:paraId="5B680CA4" w14:textId="536F67CC"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r w:rsidRPr="00921EC5">
        <w:rPr>
          <w:rFonts w:ascii="Avenir Book" w:hAnsi="Avenir Book"/>
          <w:color w:val="000000" w:themeColor="text1"/>
          <w:sz w:val="18"/>
          <w:szCs w:val="18"/>
        </w:rPr>
        <w:t xml:space="preserve"> at 246.</w:t>
      </w:r>
    </w:p>
  </w:endnote>
  <w:endnote w:id="269">
    <w:p w14:paraId="41B9E18B" w14:textId="46A826B3"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Farole, Jr. &amp; Langton,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note 264, at 87.</w:t>
      </w:r>
    </w:p>
  </w:endnote>
  <w:endnote w:id="270">
    <w:p w14:paraId="130E75E7"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Bennett H. Brummer, </w:t>
      </w:r>
      <w:r w:rsidRPr="00921EC5">
        <w:rPr>
          <w:rFonts w:ascii="Avenir Book" w:hAnsi="Avenir Book"/>
          <w:i/>
          <w:color w:val="000000" w:themeColor="text1"/>
          <w:sz w:val="18"/>
          <w:szCs w:val="18"/>
        </w:rPr>
        <w:t>The Banality of Excessive Defender Workload: Managing the Systemic Obstruction of Justice</w:t>
      </w:r>
      <w:r w:rsidRPr="00921EC5">
        <w:rPr>
          <w:rFonts w:ascii="Avenir Book" w:hAnsi="Avenir Book"/>
          <w:color w:val="000000" w:themeColor="text1"/>
          <w:sz w:val="18"/>
          <w:szCs w:val="18"/>
        </w:rPr>
        <w:t xml:space="preserve">, 22 </w:t>
      </w:r>
      <w:r w:rsidRPr="00921EC5">
        <w:rPr>
          <w:rFonts w:ascii="Avenir Book" w:hAnsi="Avenir Book"/>
          <w:smallCaps/>
          <w:color w:val="000000" w:themeColor="text1"/>
          <w:sz w:val="18"/>
          <w:szCs w:val="18"/>
        </w:rPr>
        <w:t>St. Thomas L. Rev.</w:t>
      </w:r>
      <w:r w:rsidRPr="00921EC5">
        <w:rPr>
          <w:rFonts w:ascii="Avenir Book" w:hAnsi="Avenir Book"/>
          <w:color w:val="000000" w:themeColor="text1"/>
          <w:sz w:val="18"/>
          <w:szCs w:val="18"/>
        </w:rPr>
        <w:t xml:space="preserve"> 104, 106 (2009).</w:t>
      </w:r>
    </w:p>
  </w:endnote>
  <w:endnote w:id="271">
    <w:p w14:paraId="2CCDE1AE" w14:textId="3AB67893"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Const. Proj., Justice Denied,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85, at 65.</w:t>
      </w:r>
    </w:p>
  </w:endnote>
  <w:endnote w:id="272">
    <w:p w14:paraId="7157A3FA" w14:textId="6D8E8170"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ABA Standing Comm. on Legal Aid and Indigent Defendants,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_Ref62729658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21</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2.</w:t>
      </w:r>
    </w:p>
  </w:endnote>
  <w:endnote w:id="273">
    <w:p w14:paraId="4A3AB0DF" w14:textId="31888FDA"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smallCaps/>
          <w:color w:val="000000" w:themeColor="text1"/>
          <w:sz w:val="18"/>
          <w:szCs w:val="18"/>
        </w:rPr>
        <w:t>Nat’l Ass’n of Pub. Defs</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_Ref62826501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24</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w:t>
      </w:r>
      <w:r w:rsidRPr="00921EC5">
        <w:rPr>
          <w:rFonts w:ascii="Avenir Book" w:hAnsi="Avenir Book"/>
          <w:smallCaps/>
          <w:color w:val="000000" w:themeColor="text1"/>
          <w:sz w:val="18"/>
          <w:szCs w:val="18"/>
        </w:rPr>
        <w:t xml:space="preserve"> </w:t>
      </w:r>
      <w:r w:rsidRPr="00921EC5">
        <w:rPr>
          <w:rFonts w:ascii="Avenir Book" w:hAnsi="Avenir Book"/>
          <w:color w:val="000000" w:themeColor="text1"/>
          <w:sz w:val="18"/>
          <w:szCs w:val="18"/>
        </w:rPr>
        <w:t>Principle 3.</w:t>
      </w:r>
    </w:p>
  </w:endnote>
  <w:endnote w:id="274">
    <w:p w14:paraId="48A02903" w14:textId="7CCF1179"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Furst</w:t>
      </w:r>
      <w:r w:rsidRPr="00921EC5">
        <w:rPr>
          <w:rFonts w:ascii="Avenir Book" w:hAnsi="Avenir Book"/>
          <w:smallCaps/>
          <w:color w:val="000000" w:themeColor="text1"/>
          <w:sz w:val="18"/>
          <w:szCs w:val="18"/>
        </w:rPr>
        <w:t xml:space="preserv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181, at 7.</w:t>
      </w:r>
    </w:p>
  </w:endnote>
  <w:endnote w:id="275">
    <w:p w14:paraId="4352354D"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Anthony C. Thompson, </w:t>
      </w:r>
      <w:r w:rsidRPr="00921EC5">
        <w:rPr>
          <w:rFonts w:ascii="Avenir Book" w:hAnsi="Avenir Book"/>
          <w:i/>
          <w:color w:val="000000" w:themeColor="text1"/>
          <w:sz w:val="18"/>
          <w:szCs w:val="18"/>
        </w:rPr>
        <w:t xml:space="preserve">The Promise of Gideon: Providing High-Quality Public Defense in America, </w:t>
      </w:r>
      <w:r w:rsidRPr="00921EC5">
        <w:rPr>
          <w:rFonts w:ascii="Avenir Book" w:hAnsi="Avenir Book"/>
          <w:color w:val="000000" w:themeColor="text1"/>
          <w:sz w:val="18"/>
          <w:szCs w:val="18"/>
        </w:rPr>
        <w:t xml:space="preserve">31 </w:t>
      </w:r>
      <w:r w:rsidRPr="00921EC5">
        <w:rPr>
          <w:rFonts w:ascii="Avenir Book" w:hAnsi="Avenir Book"/>
          <w:smallCaps/>
          <w:color w:val="000000" w:themeColor="text1"/>
          <w:sz w:val="18"/>
          <w:szCs w:val="18"/>
        </w:rPr>
        <w:t>Quinnipiac L. Rev.</w:t>
      </w:r>
      <w:r w:rsidRPr="00921EC5">
        <w:rPr>
          <w:rFonts w:ascii="Avenir Book" w:hAnsi="Avenir Book"/>
          <w:color w:val="000000" w:themeColor="text1"/>
          <w:sz w:val="18"/>
          <w:szCs w:val="18"/>
        </w:rPr>
        <w:t xml:space="preserve"> 713, 732 (2013).</w:t>
      </w:r>
    </w:p>
  </w:endnote>
  <w:endnote w:id="276">
    <w:p w14:paraId="43D3A350" w14:textId="09195A66"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277">
    <w:p w14:paraId="292D13D3" w14:textId="1CCB7791"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278">
    <w:p w14:paraId="415E3E60"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Susan Herlofsky &amp; Geoffrey Isaacman, </w:t>
      </w:r>
      <w:r w:rsidRPr="00921EC5">
        <w:rPr>
          <w:rFonts w:ascii="Avenir Book" w:hAnsi="Avenir Book"/>
          <w:i/>
          <w:color w:val="000000" w:themeColor="text1"/>
          <w:sz w:val="18"/>
          <w:szCs w:val="18"/>
        </w:rPr>
        <w:t>Minnesota’s Attempts to Fund Indigent Defense: Demonstrating the Need for a Dedicated Funding Source</w:t>
      </w:r>
      <w:r w:rsidRPr="00921EC5">
        <w:rPr>
          <w:rFonts w:ascii="Avenir Book" w:hAnsi="Avenir Book"/>
          <w:color w:val="000000" w:themeColor="text1"/>
          <w:sz w:val="18"/>
          <w:szCs w:val="18"/>
        </w:rPr>
        <w:t xml:space="preserve">, 37 </w:t>
      </w:r>
      <w:r w:rsidRPr="00921EC5">
        <w:rPr>
          <w:rFonts w:ascii="Avenir Book" w:hAnsi="Avenir Book"/>
          <w:smallCaps/>
          <w:color w:val="000000" w:themeColor="text1"/>
          <w:sz w:val="18"/>
          <w:szCs w:val="18"/>
        </w:rPr>
        <w:t>Wm. Mitchell L Rev.</w:t>
      </w:r>
      <w:r w:rsidRPr="00921EC5">
        <w:rPr>
          <w:rFonts w:ascii="Avenir Book" w:hAnsi="Avenir Book"/>
          <w:color w:val="000000" w:themeColor="text1"/>
          <w:sz w:val="18"/>
          <w:szCs w:val="18"/>
        </w:rPr>
        <w:t xml:space="preserve"> 559, 581 (2011).</w:t>
      </w:r>
    </w:p>
  </w:endnote>
  <w:endnote w:id="279">
    <w:p w14:paraId="578BAF9B" w14:textId="7B2C7AE4"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Const. Proj., Justice Denied,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85, at 66.</w:t>
      </w:r>
    </w:p>
  </w:endnote>
  <w:endnote w:id="280">
    <w:p w14:paraId="24DCB922" w14:textId="42052364"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Samantha Jaffe, </w:t>
      </w:r>
      <w:r w:rsidRPr="00921EC5">
        <w:rPr>
          <w:rFonts w:ascii="Avenir Book" w:hAnsi="Avenir Book"/>
          <w:i/>
          <w:color w:val="000000" w:themeColor="text1"/>
          <w:sz w:val="18"/>
          <w:szCs w:val="18"/>
        </w:rPr>
        <w:t xml:space="preserve">“It’s Not You, It’s Your Caseload”: Using </w:t>
      </w:r>
      <w:r w:rsidRPr="00921EC5">
        <w:rPr>
          <w:rFonts w:ascii="Avenir Book" w:hAnsi="Avenir Book"/>
          <w:color w:val="000000" w:themeColor="text1"/>
          <w:sz w:val="18"/>
          <w:szCs w:val="18"/>
        </w:rPr>
        <w:t xml:space="preserve">Cronic </w:t>
      </w:r>
      <w:r w:rsidRPr="00921EC5">
        <w:rPr>
          <w:rFonts w:ascii="Avenir Book" w:hAnsi="Avenir Book"/>
          <w:i/>
          <w:color w:val="000000" w:themeColor="text1"/>
          <w:sz w:val="18"/>
          <w:szCs w:val="18"/>
        </w:rPr>
        <w:t>to Solve Indigent Defense Underfunding</w:t>
      </w:r>
      <w:r w:rsidRPr="00921EC5">
        <w:rPr>
          <w:rFonts w:ascii="Avenir Book" w:hAnsi="Avenir Book"/>
          <w:color w:val="000000" w:themeColor="text1"/>
          <w:sz w:val="18"/>
          <w:szCs w:val="18"/>
        </w:rPr>
        <w:t xml:space="preserve">, 116 </w:t>
      </w:r>
      <w:r w:rsidRPr="00921EC5">
        <w:rPr>
          <w:rFonts w:ascii="Avenir Book" w:hAnsi="Avenir Book"/>
          <w:smallCaps/>
          <w:color w:val="000000" w:themeColor="text1"/>
          <w:sz w:val="18"/>
          <w:szCs w:val="18"/>
        </w:rPr>
        <w:t>Mich. L. Rev.</w:t>
      </w:r>
      <w:r w:rsidRPr="00921EC5">
        <w:rPr>
          <w:rFonts w:ascii="Avenir Book" w:hAnsi="Avenir Book"/>
          <w:color w:val="000000" w:themeColor="text1"/>
          <w:sz w:val="18"/>
          <w:szCs w:val="18"/>
        </w:rPr>
        <w:t xml:space="preserve"> 1465, 1477 (2018). Modern cases increasingly rely on developments in science and technology, which require specialized training and more time to develop an effective defense; </w:t>
      </w:r>
      <w:r w:rsidRPr="00921EC5">
        <w:rPr>
          <w:rFonts w:ascii="Avenir Book" w:hAnsi="Avenir Book"/>
          <w:smallCaps/>
          <w:color w:val="000000" w:themeColor="text1"/>
          <w:sz w:val="18"/>
          <w:szCs w:val="18"/>
        </w:rPr>
        <w:t>Advisory Comm. on Servs. to Indigent Criminal Defendants, A Constitutional Default: Services to Indigent Criminal Defendants in Pennsylvania</w:t>
      </w:r>
      <w:r w:rsidRPr="00921EC5">
        <w:rPr>
          <w:rFonts w:ascii="Avenir Book" w:hAnsi="Avenir Book"/>
          <w:color w:val="000000" w:themeColor="text1"/>
          <w:sz w:val="18"/>
          <w:szCs w:val="18"/>
        </w:rPr>
        <w:t xml:space="preserve"> 70 (2011).</w:t>
      </w:r>
    </w:p>
  </w:endnote>
  <w:endnote w:id="281">
    <w:p w14:paraId="42B70F70" w14:textId="2F5BFF19"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Jaffe,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_Ref62829147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274</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1477.</w:t>
      </w:r>
    </w:p>
  </w:endnote>
  <w:endnote w:id="282">
    <w:p w14:paraId="03D81D79"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Heidi Reamer Anderson, </w:t>
      </w:r>
      <w:r w:rsidRPr="00921EC5">
        <w:rPr>
          <w:rFonts w:ascii="Avenir Book" w:hAnsi="Avenir Book"/>
          <w:i/>
          <w:color w:val="000000" w:themeColor="text1"/>
          <w:sz w:val="18"/>
          <w:szCs w:val="18"/>
        </w:rPr>
        <w:t xml:space="preserve">Funding </w:t>
      </w:r>
      <w:r w:rsidRPr="00921EC5">
        <w:rPr>
          <w:rFonts w:ascii="Avenir Book" w:hAnsi="Avenir Book"/>
          <w:color w:val="000000" w:themeColor="text1"/>
          <w:sz w:val="18"/>
          <w:szCs w:val="18"/>
        </w:rPr>
        <w:t>Gideon</w:t>
      </w:r>
      <w:r w:rsidRPr="00921EC5">
        <w:rPr>
          <w:rFonts w:ascii="Avenir Book" w:hAnsi="Avenir Book"/>
          <w:i/>
          <w:color w:val="000000" w:themeColor="text1"/>
          <w:sz w:val="18"/>
          <w:szCs w:val="18"/>
        </w:rPr>
        <w:t>’s Promise by Viewing Excessive Caseloads as Unethical Conflicts of Interest</w:t>
      </w:r>
      <w:r w:rsidRPr="00921EC5">
        <w:rPr>
          <w:rFonts w:ascii="Avenir Book" w:hAnsi="Avenir Book"/>
          <w:color w:val="000000" w:themeColor="text1"/>
          <w:sz w:val="18"/>
          <w:szCs w:val="18"/>
        </w:rPr>
        <w:t>, 39 Hastings Cont. L.Q. 421, 427 (2012).</w:t>
      </w:r>
    </w:p>
  </w:endnote>
  <w:endnote w:id="283">
    <w:p w14:paraId="14EF6002"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Cynthia G. Lee et al</w:t>
      </w:r>
      <w:r w:rsidRPr="00921EC5">
        <w:rPr>
          <w:rFonts w:ascii="Avenir Book" w:hAnsi="Avenir Book"/>
          <w:smallCaps/>
          <w:color w:val="000000" w:themeColor="text1"/>
          <w:sz w:val="18"/>
          <w:szCs w:val="18"/>
        </w:rPr>
        <w:t>., Nat. Ctr. State Courts, North Carolina Office of Indigent Defense Services Workload Assessment</w:t>
      </w:r>
      <w:r w:rsidRPr="00921EC5">
        <w:rPr>
          <w:rFonts w:ascii="Avenir Book" w:hAnsi="Avenir Book"/>
          <w:color w:val="000000" w:themeColor="text1"/>
          <w:sz w:val="18"/>
          <w:szCs w:val="18"/>
        </w:rPr>
        <w:t xml:space="preserve"> 3 (2019). </w:t>
      </w:r>
    </w:p>
  </w:endnote>
  <w:endnote w:id="284">
    <w:p w14:paraId="3E42F748" w14:textId="16CB9872"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Mich. Indigent Def. Comm’n, Minimum Standards for Indigent Criminal Defense Services</w:t>
      </w:r>
      <w:r w:rsidRPr="00921EC5">
        <w:rPr>
          <w:rFonts w:ascii="Avenir Book" w:hAnsi="Avenir Book"/>
          <w:color w:val="000000" w:themeColor="text1"/>
          <w:sz w:val="18"/>
          <w:szCs w:val="18"/>
        </w:rPr>
        <w:t xml:space="preserve"> 7 (Nov. 18, 2020), </w:t>
      </w:r>
      <w:hyperlink r:id="rId30">
        <w:r w:rsidRPr="00921EC5">
          <w:rPr>
            <w:rFonts w:ascii="Avenir Book" w:hAnsi="Avenir Book"/>
            <w:color w:val="000000" w:themeColor="text1"/>
            <w:sz w:val="18"/>
            <w:szCs w:val="18"/>
            <w:u w:val="single"/>
          </w:rPr>
          <w:t>https://michiganidc.gov/wp-content/uploads/2020/10/MIDC-Standards-November-2020-complete.pdf</w:t>
        </w:r>
      </w:hyperlink>
      <w:r w:rsidRPr="00921EC5">
        <w:rPr>
          <w:rFonts w:ascii="Avenir Book" w:hAnsi="Avenir Book"/>
          <w:color w:val="000000" w:themeColor="text1"/>
          <w:sz w:val="18"/>
          <w:szCs w:val="18"/>
          <w:u w:val="single"/>
        </w:rPr>
        <w:t>.</w:t>
      </w:r>
    </w:p>
  </w:endnote>
  <w:endnote w:id="285">
    <w:p w14:paraId="2A1554BB" w14:textId="7EF5BA3D"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Eve Brensike Primus, </w:t>
      </w:r>
      <w:r w:rsidRPr="00921EC5">
        <w:rPr>
          <w:rFonts w:ascii="Avenir Book" w:hAnsi="Avenir Book"/>
          <w:i/>
          <w:iCs/>
          <w:color w:val="000000" w:themeColor="text1"/>
          <w:sz w:val="18"/>
          <w:szCs w:val="18"/>
        </w:rPr>
        <w:t>Culture as a Structural Problem in Indigent Defense,</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Minn. L. Rev.</w:t>
      </w:r>
      <w:r w:rsidRPr="00921EC5">
        <w:rPr>
          <w:rFonts w:ascii="Avenir Book" w:hAnsi="Avenir Book"/>
          <w:color w:val="000000" w:themeColor="text1"/>
          <w:sz w:val="18"/>
          <w:szCs w:val="18"/>
        </w:rPr>
        <w:t xml:space="preserve"> 1771 (2016) </w:t>
      </w:r>
      <w:hyperlink r:id="rId31">
        <w:r w:rsidRPr="00921EC5">
          <w:rPr>
            <w:rFonts w:ascii="Avenir Book" w:hAnsi="Avenir Book"/>
            <w:color w:val="000000" w:themeColor="text1"/>
            <w:sz w:val="18"/>
            <w:szCs w:val="18"/>
            <w:u w:val="single"/>
          </w:rPr>
          <w:t>https://www.minnesotalawreview.org/wp-content/uploads/2016/06/Primus_Online.pdf</w:t>
        </w:r>
      </w:hyperlink>
      <w:r w:rsidRPr="00921EC5">
        <w:rPr>
          <w:rFonts w:ascii="Avenir Book" w:hAnsi="Avenir Book"/>
          <w:color w:val="000000" w:themeColor="text1"/>
          <w:sz w:val="18"/>
          <w:szCs w:val="18"/>
        </w:rPr>
        <w:t xml:space="preserve"> </w:t>
      </w:r>
    </w:p>
  </w:endnote>
  <w:endnote w:id="286">
    <w:p w14:paraId="0F606008" w14:textId="522FCF2C"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287">
    <w:p w14:paraId="7F50BB10" w14:textId="516EE90C"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Backus &amp; Marcus,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_Ref62810862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67</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1090.</w:t>
      </w:r>
    </w:p>
  </w:endnote>
  <w:endnote w:id="288">
    <w:p w14:paraId="572562CD"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F. Randall Karfonta, </w:t>
      </w:r>
      <w:r w:rsidRPr="00921EC5">
        <w:rPr>
          <w:rFonts w:ascii="Avenir Book" w:hAnsi="Avenir Book"/>
          <w:i/>
          <w:color w:val="000000" w:themeColor="text1"/>
          <w:sz w:val="18"/>
          <w:szCs w:val="18"/>
        </w:rPr>
        <w:t>Balancing the Scales of Justice: Training and Support Services for Appointed Criminal Defense Lawyers</w:t>
      </w:r>
      <w:r w:rsidRPr="00921EC5">
        <w:rPr>
          <w:rFonts w:ascii="Avenir Book" w:hAnsi="Avenir Book"/>
          <w:color w:val="000000" w:themeColor="text1"/>
          <w:sz w:val="18"/>
          <w:szCs w:val="18"/>
        </w:rPr>
        <w:t>, 71 Mich. B.J. 164, 165 (1992).</w:t>
      </w:r>
    </w:p>
  </w:endnote>
  <w:endnote w:id="289">
    <w:p w14:paraId="504C3467" w14:textId="1C3BD7D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290">
    <w:p w14:paraId="16833CC5" w14:textId="33B162A9"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ABA Standing Comm. on Legal Aid and Indigent Defendants,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_Ref62813185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76</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11.</w:t>
      </w:r>
    </w:p>
  </w:endnote>
  <w:endnote w:id="291">
    <w:p w14:paraId="43BF13E1" w14:textId="2E0D941E"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Karfonta,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note 287, at 168.</w:t>
      </w:r>
    </w:p>
  </w:endnote>
  <w:endnote w:id="292">
    <w:p w14:paraId="146A6F10" w14:textId="703321C6"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ABA Standing Comm. On Legal Aid and Indigent Defendants</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_Ref62729658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21</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3.</w:t>
      </w:r>
    </w:p>
  </w:endnote>
  <w:endnote w:id="293">
    <w:p w14:paraId="523387DC" w14:textId="67411179"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294">
    <w:p w14:paraId="1DEFF4F7" w14:textId="59A26829"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295">
    <w:p w14:paraId="19956CBE" w14:textId="72899C7B"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ABA Standing Comm. on Legal Aid and Indigent Defendants,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_Ref62813185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76</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xml:space="preserve">, at 11; </w:t>
      </w:r>
      <w:r w:rsidRPr="00921EC5">
        <w:rPr>
          <w:rFonts w:ascii="Avenir Book" w:hAnsi="Avenir Book"/>
          <w:i/>
          <w:color w:val="000000" w:themeColor="text1"/>
          <w:sz w:val="18"/>
          <w:szCs w:val="18"/>
        </w:rPr>
        <w:t xml:space="preserve">see also </w:t>
      </w:r>
      <w:r w:rsidRPr="00921EC5">
        <w:rPr>
          <w:rFonts w:ascii="Avenir Book" w:hAnsi="Avenir Book"/>
          <w:smallCaps/>
          <w:color w:val="000000" w:themeColor="text1"/>
          <w:sz w:val="18"/>
          <w:szCs w:val="18"/>
        </w:rPr>
        <w:t>Nat’l Ass’n of Pub. Defs</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_Ref62826501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24</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Principle 3.</w:t>
      </w:r>
    </w:p>
  </w:endnote>
  <w:endnote w:id="296">
    <w:p w14:paraId="147973AB" w14:textId="33188ECF"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Karfonta,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287, at 166. For example, the National Association of Criminal Defense Lawyers offers free public defense training programs for indigent defense providers whose training may be considered “grossly inadequate.” Nat’l Assoc. Criminal Def. Lawyers, Public Defense Training Programs, </w:t>
      </w:r>
      <w:hyperlink r:id="rId32" w:history="1">
        <w:r w:rsidRPr="00921EC5">
          <w:rPr>
            <w:rStyle w:val="Hyperlink"/>
            <w:rFonts w:ascii="Avenir Book" w:hAnsi="Avenir Book"/>
            <w:color w:val="000000" w:themeColor="text1"/>
            <w:sz w:val="18"/>
            <w:szCs w:val="18"/>
          </w:rPr>
          <w:t>https://www.nacdl.org/Content/PublicDefenseTrainingPrograms</w:t>
        </w:r>
      </w:hyperlink>
      <w:r w:rsidRPr="00921EC5">
        <w:rPr>
          <w:rFonts w:ascii="Avenir Book" w:hAnsi="Avenir Book"/>
          <w:color w:val="000000" w:themeColor="text1"/>
          <w:sz w:val="18"/>
          <w:szCs w:val="18"/>
        </w:rPr>
        <w:t xml:space="preserve"> (last accessed Dec. 5, 2020).</w:t>
      </w:r>
    </w:p>
  </w:endnote>
  <w:endnote w:id="297">
    <w:p w14:paraId="125714E8" w14:textId="1B87F1F6"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Thompson,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note 274, at 730-31.</w:t>
      </w:r>
    </w:p>
  </w:endnote>
  <w:endnote w:id="298">
    <w:p w14:paraId="31C9BB15" w14:textId="1BC9D0D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Advisory Comm. on Servs. to Indigent Criminal Defendants,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_Ref62734686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12</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96.</w:t>
      </w:r>
    </w:p>
  </w:endnote>
  <w:endnote w:id="299">
    <w:p w14:paraId="231AF450"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Model Rules of Prof'l Conduct R. 5.1 (2019).</w:t>
      </w:r>
    </w:p>
  </w:endnote>
  <w:endnote w:id="300">
    <w:p w14:paraId="5C1B792D" w14:textId="60F7E95A"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iCs/>
          <w:color w:val="000000" w:themeColor="text1"/>
          <w:sz w:val="18"/>
          <w:szCs w:val="18"/>
        </w:rPr>
        <w:t>Id.</w:t>
      </w:r>
      <w:r w:rsidRPr="00921EC5">
        <w:rPr>
          <w:rFonts w:ascii="Avenir Book" w:hAnsi="Avenir Book"/>
          <w:color w:val="000000" w:themeColor="text1"/>
          <w:sz w:val="18"/>
          <w:szCs w:val="18"/>
        </w:rPr>
        <w:t xml:space="preserve"> at R. 5.1(c).</w:t>
      </w:r>
    </w:p>
  </w:endnote>
  <w:endnote w:id="301">
    <w:p w14:paraId="2504A491" w14:textId="4F9FD46D"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ABA Standing Comm. on Legal Aid and Indigent Defendants,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_Ref62729658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21</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3.</w:t>
      </w:r>
    </w:p>
  </w:endnote>
  <w:endnote w:id="302">
    <w:p w14:paraId="3E2A13C3" w14:textId="7A2B6031"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Backus &amp; Marcus,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_Ref62810862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67</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1090.</w:t>
      </w:r>
    </w:p>
  </w:endnote>
  <w:endnote w:id="303">
    <w:p w14:paraId="34C8AA81"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Nat’l Ass’n of Pub. Defs</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_Ref62826501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24</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Principle 4.</w:t>
      </w:r>
    </w:p>
  </w:endnote>
  <w:endnote w:id="304">
    <w:p w14:paraId="1141F0A1"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Norman Lefstein &amp; Georgia Vagenas, </w:t>
      </w:r>
      <w:r w:rsidRPr="00921EC5">
        <w:rPr>
          <w:rFonts w:ascii="Avenir Book" w:hAnsi="Avenir Book"/>
          <w:i/>
          <w:color w:val="000000" w:themeColor="text1"/>
          <w:sz w:val="18"/>
          <w:szCs w:val="18"/>
        </w:rPr>
        <w:t>Restraining Excessive Defender Caseloads: The ABA Ethics Committee Requires Action,</w:t>
      </w:r>
      <w:r w:rsidRPr="00921EC5">
        <w:rPr>
          <w:rFonts w:ascii="Avenir Book" w:hAnsi="Avenir Book"/>
          <w:color w:val="000000" w:themeColor="text1"/>
          <w:sz w:val="18"/>
          <w:szCs w:val="18"/>
        </w:rPr>
        <w:t xml:space="preserve"> Champion, Dec. 2006, at 10, 14.</w:t>
      </w:r>
    </w:p>
  </w:endnote>
  <w:endnote w:id="305">
    <w:p w14:paraId="29B91B32"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06">
    <w:p w14:paraId="6F44E572" w14:textId="67EDB13E"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Mich. Indigent Def. Comm’n,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_Ref62813636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180</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15.</w:t>
      </w:r>
    </w:p>
  </w:endnote>
  <w:endnote w:id="307">
    <w:p w14:paraId="41233CCD" w14:textId="21F22D44"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08">
    <w:p w14:paraId="0E021219" w14:textId="21C015E9"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Robert C. Boruchowitz, Malia N. Brink, &amp; Maureen Dimino, </w:t>
      </w:r>
      <w:r w:rsidRPr="00921EC5">
        <w:rPr>
          <w:rFonts w:ascii="Avenir Book" w:hAnsi="Avenir Book"/>
          <w:i/>
          <w:color w:val="000000" w:themeColor="text1"/>
          <w:sz w:val="18"/>
          <w:szCs w:val="18"/>
        </w:rPr>
        <w:t>Minor Crimes, Massive Waste The Terrible Toll of America’s Broken Misdemeanor Courts</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National Association of Criminal Defense Lawyers</w:t>
      </w:r>
      <w:r w:rsidRPr="00921EC5" w:rsidDel="00E97EAA">
        <w:rPr>
          <w:rFonts w:ascii="Avenir Book" w:hAnsi="Avenir Book"/>
          <w:color w:val="000000" w:themeColor="text1"/>
          <w:sz w:val="18"/>
          <w:szCs w:val="18"/>
        </w:rPr>
        <w:t xml:space="preserve"> </w:t>
      </w:r>
      <w:r w:rsidRPr="00921EC5">
        <w:rPr>
          <w:rFonts w:ascii="Avenir Book" w:hAnsi="Avenir Book"/>
          <w:color w:val="000000" w:themeColor="text1"/>
          <w:sz w:val="18"/>
          <w:szCs w:val="18"/>
        </w:rPr>
        <w:t xml:space="preserve">40 (2009) </w:t>
      </w:r>
      <w:hyperlink r:id="rId33">
        <w:r w:rsidRPr="00921EC5">
          <w:rPr>
            <w:rFonts w:ascii="Avenir Book" w:hAnsi="Avenir Book"/>
            <w:color w:val="000000" w:themeColor="text1"/>
            <w:sz w:val="18"/>
            <w:szCs w:val="18"/>
            <w:u w:val="single"/>
          </w:rPr>
          <w:t>https://www.nacdl.org/getattachment/20b7a219-b631-48b7-b34a-2d1cb758bdb4/minor-crimes-massive-waste-the-terrible-toll-of-america-s-broken-misdemeanor-courts.pdf</w:t>
        </w:r>
      </w:hyperlink>
    </w:p>
  </w:endnote>
  <w:endnote w:id="309">
    <w:p w14:paraId="007CF452" w14:textId="6D162F75"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Backus &amp; Marcus,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_Ref62810862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67</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1092.</w:t>
      </w:r>
    </w:p>
  </w:endnote>
  <w:endnote w:id="310">
    <w:p w14:paraId="54B599D9" w14:textId="2A2963FD"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11">
    <w:p w14:paraId="55DBEC2E" w14:textId="29A62106"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Robin Steinberg &amp; David Feige, </w:t>
      </w:r>
      <w:r w:rsidRPr="00921EC5">
        <w:rPr>
          <w:rFonts w:ascii="Avenir Book" w:hAnsi="Avenir Book"/>
          <w:i/>
          <w:color w:val="000000" w:themeColor="text1"/>
          <w:sz w:val="18"/>
          <w:szCs w:val="18"/>
        </w:rPr>
        <w:t>Cultural Revolution: Transforming the Public Defender’s Office</w:t>
      </w:r>
      <w:r w:rsidRPr="00921EC5">
        <w:rPr>
          <w:rFonts w:ascii="Avenir Book" w:hAnsi="Avenir Book"/>
          <w:color w:val="000000" w:themeColor="text1"/>
          <w:sz w:val="18"/>
          <w:szCs w:val="18"/>
        </w:rPr>
        <w:t xml:space="preserve">, 29 </w:t>
      </w:r>
      <w:r w:rsidRPr="00921EC5">
        <w:rPr>
          <w:rFonts w:ascii="Avenir Book" w:hAnsi="Avenir Book"/>
          <w:smallCaps/>
          <w:color w:val="000000" w:themeColor="text1"/>
          <w:sz w:val="18"/>
          <w:szCs w:val="18"/>
        </w:rPr>
        <w:t>N.Y.U. Rev. L. &amp; Soc. Change</w:t>
      </w:r>
      <w:r w:rsidRPr="00921EC5">
        <w:rPr>
          <w:rFonts w:ascii="Avenir Book" w:hAnsi="Avenir Book"/>
          <w:color w:val="000000" w:themeColor="text1"/>
          <w:sz w:val="18"/>
          <w:szCs w:val="18"/>
        </w:rPr>
        <w:t xml:space="preserve"> 123, 125 (2004).</w:t>
      </w:r>
    </w:p>
  </w:endnote>
  <w:endnote w:id="312">
    <w:p w14:paraId="7100778D" w14:textId="07279EDB"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Wallace &amp; Carroll</w:t>
      </w:r>
      <w:r w:rsidRPr="00921EC5">
        <w:rPr>
          <w:rFonts w:ascii="Avenir Book" w:hAnsi="Avenir Book"/>
          <w:smallCaps/>
          <w:color w:val="000000" w:themeColor="text1"/>
          <w:sz w:val="18"/>
          <w:szCs w:val="18"/>
        </w:rPr>
        <w:t xml:space="preserv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_Ref62813967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97</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13-14.</w:t>
      </w:r>
    </w:p>
  </w:endnote>
  <w:endnote w:id="313">
    <w:p w14:paraId="39F74A11" w14:textId="0961BD9A"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14">
    <w:p w14:paraId="5EE1531A" w14:textId="013CB35E"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r w:rsidRPr="00921EC5">
        <w:rPr>
          <w:rFonts w:ascii="Avenir Book" w:hAnsi="Avenir Book"/>
          <w:color w:val="000000" w:themeColor="text1"/>
          <w:sz w:val="18"/>
          <w:szCs w:val="18"/>
        </w:rPr>
        <w:t xml:space="preserve"> at 47.</w:t>
      </w:r>
    </w:p>
  </w:endnote>
  <w:endnote w:id="315">
    <w:p w14:paraId="053DFFFD" w14:textId="7F70331C"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16">
    <w:p w14:paraId="369243D5" w14:textId="32B08101"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Lynn Langton &amp; Donald Farole, Jr., Ph.D., </w:t>
      </w:r>
      <w:r w:rsidRPr="00921EC5">
        <w:rPr>
          <w:rFonts w:ascii="Avenir Book" w:hAnsi="Avenir Book"/>
          <w:i/>
          <w:color w:val="000000" w:themeColor="text1"/>
          <w:sz w:val="18"/>
          <w:szCs w:val="18"/>
        </w:rPr>
        <w:t>State Public Defender Programs, 2007</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U.S. Dep’t Just.</w:t>
      </w:r>
      <w:r w:rsidRPr="00921EC5">
        <w:rPr>
          <w:rFonts w:ascii="Avenir Book" w:hAnsi="Avenir Book"/>
          <w:color w:val="000000" w:themeColor="text1"/>
          <w:sz w:val="18"/>
          <w:szCs w:val="18"/>
        </w:rPr>
        <w:t xml:space="preserve"> NCJ 228229, at 8 (Sept. 2010), </w:t>
      </w:r>
      <w:hyperlink r:id="rId34">
        <w:r w:rsidRPr="00921EC5">
          <w:rPr>
            <w:rFonts w:ascii="Avenir Book" w:hAnsi="Avenir Book"/>
            <w:color w:val="000000" w:themeColor="text1"/>
            <w:sz w:val="18"/>
            <w:szCs w:val="18"/>
            <w:u w:val="single"/>
          </w:rPr>
          <w:t>https://www.bjs.gov/content/pub/pdf/spdp07.pdf</w:t>
        </w:r>
      </w:hyperlink>
    </w:p>
  </w:endnote>
  <w:endnote w:id="317">
    <w:p w14:paraId="244121B1"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Irene Oritsweyinmi Joe, </w:t>
      </w:r>
      <w:r w:rsidRPr="00921EC5">
        <w:rPr>
          <w:rFonts w:ascii="Avenir Book" w:hAnsi="Avenir Book"/>
          <w:i/>
          <w:color w:val="000000" w:themeColor="text1"/>
          <w:sz w:val="18"/>
          <w:szCs w:val="18"/>
        </w:rPr>
        <w:t>Systematizing Public Defender Rationing</w:t>
      </w:r>
      <w:r w:rsidRPr="00921EC5">
        <w:rPr>
          <w:rFonts w:ascii="Avenir Book" w:hAnsi="Avenir Book"/>
          <w:color w:val="000000" w:themeColor="text1"/>
          <w:sz w:val="18"/>
          <w:szCs w:val="18"/>
        </w:rPr>
        <w:t xml:space="preserve">, 93 </w:t>
      </w:r>
      <w:r w:rsidRPr="00921EC5">
        <w:rPr>
          <w:rFonts w:ascii="Avenir Book" w:hAnsi="Avenir Book"/>
          <w:smallCaps/>
          <w:color w:val="000000" w:themeColor="text1"/>
          <w:sz w:val="18"/>
          <w:szCs w:val="18"/>
        </w:rPr>
        <w:t xml:space="preserve">Denv. L. Rev. </w:t>
      </w:r>
      <w:r w:rsidRPr="00921EC5">
        <w:rPr>
          <w:rFonts w:ascii="Avenir Book" w:hAnsi="Avenir Book"/>
          <w:color w:val="000000" w:themeColor="text1"/>
          <w:sz w:val="18"/>
          <w:szCs w:val="18"/>
        </w:rPr>
        <w:t>389, 414 (2016).</w:t>
      </w:r>
    </w:p>
  </w:endnote>
  <w:endnote w:id="318">
    <w:p w14:paraId="71B63892" w14:textId="1605FB12" w:rsidR="00D267E7" w:rsidRPr="00921EC5" w:rsidRDefault="00D267E7" w:rsidP="00921EC5">
      <w:pPr>
        <w:pStyle w:val="EndnoteText"/>
        <w:jc w:val="both"/>
        <w:rPr>
          <w:rFonts w:ascii="Avenir Book" w:hAnsi="Avenir Book"/>
          <w:i/>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smallCaps/>
          <w:color w:val="000000" w:themeColor="text1"/>
          <w:sz w:val="18"/>
          <w:szCs w:val="18"/>
        </w:rPr>
        <w:t xml:space="preserve">ABA Standing Comm. on Legal Aid and Indigent Defendants, supra note </w:t>
      </w:r>
      <w:r w:rsidRPr="00921EC5">
        <w:rPr>
          <w:rFonts w:ascii="Avenir Book" w:hAnsi="Avenir Book"/>
          <w:smallCaps/>
          <w:color w:val="000000" w:themeColor="text1"/>
          <w:sz w:val="18"/>
          <w:szCs w:val="18"/>
        </w:rPr>
        <w:fldChar w:fldCharType="begin"/>
      </w:r>
      <w:r w:rsidRPr="00921EC5">
        <w:rPr>
          <w:rFonts w:ascii="Avenir Book" w:hAnsi="Avenir Book"/>
          <w:smallCaps/>
          <w:color w:val="000000" w:themeColor="text1"/>
          <w:sz w:val="18"/>
          <w:szCs w:val="18"/>
        </w:rPr>
        <w:instrText xml:space="preserve"> NOTEREF _Ref62729658 \h  \* MERGEFORMAT </w:instrText>
      </w:r>
      <w:r w:rsidRPr="00921EC5">
        <w:rPr>
          <w:rFonts w:ascii="Avenir Book" w:hAnsi="Avenir Book"/>
          <w:smallCaps/>
          <w:color w:val="000000" w:themeColor="text1"/>
          <w:sz w:val="18"/>
          <w:szCs w:val="18"/>
        </w:rPr>
      </w:r>
      <w:r w:rsidRPr="00921EC5">
        <w:rPr>
          <w:rFonts w:ascii="Avenir Book" w:hAnsi="Avenir Book"/>
          <w:smallCaps/>
          <w:color w:val="000000" w:themeColor="text1"/>
          <w:sz w:val="18"/>
          <w:szCs w:val="18"/>
        </w:rPr>
        <w:fldChar w:fldCharType="separate"/>
      </w:r>
      <w:r w:rsidRPr="00921EC5">
        <w:rPr>
          <w:rFonts w:ascii="Avenir Book" w:hAnsi="Avenir Book"/>
          <w:smallCaps/>
          <w:color w:val="000000" w:themeColor="text1"/>
          <w:sz w:val="18"/>
          <w:szCs w:val="18"/>
        </w:rPr>
        <w:t>21</w:t>
      </w:r>
      <w:r w:rsidRPr="00921EC5">
        <w:rPr>
          <w:rFonts w:ascii="Avenir Book" w:hAnsi="Avenir Book"/>
          <w:smallCaps/>
          <w:color w:val="000000" w:themeColor="text1"/>
          <w:sz w:val="18"/>
          <w:szCs w:val="18"/>
        </w:rPr>
        <w:fldChar w:fldCharType="end"/>
      </w:r>
      <w:r w:rsidRPr="00921EC5">
        <w:rPr>
          <w:rFonts w:ascii="Avenir Book" w:hAnsi="Avenir Book"/>
          <w:smallCaps/>
          <w:color w:val="000000" w:themeColor="text1"/>
          <w:sz w:val="18"/>
          <w:szCs w:val="18"/>
        </w:rPr>
        <w:t xml:space="preserve">, at </w:t>
      </w:r>
      <w:r w:rsidRPr="00921EC5">
        <w:rPr>
          <w:rFonts w:ascii="Avenir Book" w:hAnsi="Avenir Book"/>
          <w:color w:val="000000" w:themeColor="text1"/>
          <w:sz w:val="18"/>
          <w:szCs w:val="18"/>
        </w:rPr>
        <w:t>7.</w:t>
      </w:r>
    </w:p>
  </w:endnote>
  <w:endnote w:id="319">
    <w:p w14:paraId="76A53EDC" w14:textId="0AA71EFF"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Langton &amp; Farole, Jr.,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note 315, at 8.</w:t>
      </w:r>
    </w:p>
  </w:endnote>
  <w:endnote w:id="320">
    <w:p w14:paraId="3C6967A5" w14:textId="2D60866C"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Joe,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note 316, at 392.</w:t>
      </w:r>
    </w:p>
  </w:endnote>
  <w:endnote w:id="321">
    <w:p w14:paraId="32BA0A2C" w14:textId="6C8BABF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22">
    <w:p w14:paraId="2624FCAC" w14:textId="4CAE30B4"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r w:rsidRPr="00921EC5">
        <w:rPr>
          <w:rFonts w:ascii="Avenir Book" w:hAnsi="Avenir Book"/>
          <w:color w:val="000000" w:themeColor="text1"/>
          <w:sz w:val="18"/>
          <w:szCs w:val="18"/>
        </w:rPr>
        <w:t xml:space="preserve"> at 396. “Messenger representation, if it lacks substantial counseling on the benefits and consequences of accepting or rejecting a plea offer, is likely deficient and can lead to systemic and individual case challenges to the representation.</w:t>
      </w:r>
    </w:p>
  </w:endnote>
  <w:endnote w:id="323">
    <w:p w14:paraId="73FE1F48" w14:textId="0DB4946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24">
    <w:p w14:paraId="77031453" w14:textId="1F16E331"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25">
    <w:p w14:paraId="4C2FA811" w14:textId="333D4D1A"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Steinberg &amp; Feige,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310, at 123-24.</w:t>
      </w:r>
    </w:p>
  </w:endnote>
  <w:endnote w:id="326">
    <w:p w14:paraId="5B4F6E03" w14:textId="1324859C"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r w:rsidRPr="00921EC5">
        <w:rPr>
          <w:rFonts w:ascii="Avenir Book" w:hAnsi="Avenir Book"/>
          <w:color w:val="000000" w:themeColor="text1"/>
          <w:sz w:val="18"/>
          <w:szCs w:val="18"/>
        </w:rPr>
        <w:t xml:space="preserve"> at 124-25.</w:t>
      </w:r>
    </w:p>
  </w:endnote>
  <w:endnote w:id="327">
    <w:p w14:paraId="113C6121" w14:textId="1E47A2A4"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smallCaps/>
          <w:color w:val="000000" w:themeColor="text1"/>
          <w:sz w:val="18"/>
          <w:szCs w:val="18"/>
        </w:rPr>
        <w:t>Nat’l Ass’n of Pub. Defs</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w:t>
      </w:r>
      <w:r w:rsidRPr="00921EC5">
        <w:rPr>
          <w:rFonts w:ascii="Avenir Book" w:hAnsi="Avenir Book"/>
          <w:smallCaps/>
          <w:color w:val="000000" w:themeColor="text1"/>
          <w:sz w:val="18"/>
          <w:szCs w:val="18"/>
        </w:rPr>
        <w:t xml:space="preserve"> </w:t>
      </w:r>
      <w:r w:rsidRPr="00921EC5">
        <w:rPr>
          <w:rFonts w:ascii="Avenir Book" w:hAnsi="Avenir Book"/>
          <w:smallCaps/>
          <w:color w:val="000000" w:themeColor="text1"/>
          <w:sz w:val="18"/>
          <w:szCs w:val="18"/>
        </w:rPr>
        <w:fldChar w:fldCharType="begin"/>
      </w:r>
      <w:r w:rsidRPr="00921EC5">
        <w:rPr>
          <w:rFonts w:ascii="Avenir Book" w:hAnsi="Avenir Book"/>
          <w:smallCaps/>
          <w:color w:val="000000" w:themeColor="text1"/>
          <w:sz w:val="18"/>
          <w:szCs w:val="18"/>
        </w:rPr>
        <w:instrText xml:space="preserve"> NOTEREF _Ref62826501 \h  \* MERGEFORMAT </w:instrText>
      </w:r>
      <w:r w:rsidRPr="00921EC5">
        <w:rPr>
          <w:rFonts w:ascii="Avenir Book" w:hAnsi="Avenir Book"/>
          <w:smallCaps/>
          <w:color w:val="000000" w:themeColor="text1"/>
          <w:sz w:val="18"/>
          <w:szCs w:val="18"/>
        </w:rPr>
      </w:r>
      <w:r w:rsidRPr="00921EC5">
        <w:rPr>
          <w:rFonts w:ascii="Avenir Book" w:hAnsi="Avenir Book"/>
          <w:smallCaps/>
          <w:color w:val="000000" w:themeColor="text1"/>
          <w:sz w:val="18"/>
          <w:szCs w:val="18"/>
        </w:rPr>
        <w:fldChar w:fldCharType="separate"/>
      </w:r>
      <w:r w:rsidRPr="00921EC5">
        <w:rPr>
          <w:rFonts w:ascii="Avenir Book" w:hAnsi="Avenir Book"/>
          <w:smallCaps/>
          <w:color w:val="000000" w:themeColor="text1"/>
          <w:sz w:val="18"/>
          <w:szCs w:val="18"/>
        </w:rPr>
        <w:t>24</w:t>
      </w:r>
      <w:r w:rsidRPr="00921EC5">
        <w:rPr>
          <w:rFonts w:ascii="Avenir Book" w:hAnsi="Avenir Book"/>
          <w:smallCaps/>
          <w:color w:val="000000" w:themeColor="text1"/>
          <w:sz w:val="18"/>
          <w:szCs w:val="18"/>
        </w:rPr>
        <w:fldChar w:fldCharType="end"/>
      </w:r>
      <w:r w:rsidRPr="00921EC5">
        <w:rPr>
          <w:rFonts w:ascii="Avenir Book" w:hAnsi="Avenir Book"/>
          <w:color w:val="000000" w:themeColor="text1"/>
          <w:sz w:val="18"/>
          <w:szCs w:val="18"/>
        </w:rPr>
        <w:t>, at Principle 4.</w:t>
      </w:r>
    </w:p>
  </w:endnote>
  <w:endnote w:id="328">
    <w:p w14:paraId="5466E203" w14:textId="0A9E9902"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29">
    <w:p w14:paraId="09F981AF" w14:textId="045A6A0F"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Sarah Buchanan and Roger Nooe, </w:t>
      </w:r>
      <w:r w:rsidRPr="00921EC5">
        <w:rPr>
          <w:rFonts w:ascii="Avenir Book" w:hAnsi="Avenir Book"/>
          <w:i/>
          <w:iCs/>
          <w:color w:val="000000" w:themeColor="text1"/>
          <w:sz w:val="18"/>
          <w:szCs w:val="18"/>
        </w:rPr>
        <w:t xml:space="preserve">Defining Social Work within Holistic Public Defense: Challenges and Implications for </w:t>
      </w:r>
      <w:r w:rsidRPr="00921EC5">
        <w:rPr>
          <w:rFonts w:ascii="Avenir Book" w:hAnsi="Avenir Book"/>
          <w:i/>
          <w:iCs/>
          <w:color w:val="000000" w:themeColor="text1"/>
          <w:sz w:val="18"/>
          <w:szCs w:val="18"/>
        </w:rPr>
        <w:t>Practice</w:t>
      </w:r>
      <w:r w:rsidRPr="00921EC5">
        <w:rPr>
          <w:rFonts w:ascii="Avenir Book" w:hAnsi="Avenir Book"/>
          <w:color w:val="000000" w:themeColor="text1"/>
          <w:sz w:val="18"/>
          <w:szCs w:val="18"/>
        </w:rPr>
        <w:t>,  National Association of Social Workers Volume 62, Number 4, 335 (Oct, 2017).</w:t>
      </w:r>
    </w:p>
  </w:endnote>
  <w:endnote w:id="330">
    <w:p w14:paraId="43F0BBF7" w14:textId="6FD8CE1D"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31">
    <w:p w14:paraId="0567BEB6" w14:textId="1554B74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32">
    <w:p w14:paraId="780C06A2" w14:textId="68AF9AEE"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James Anderson, Maya Buenaventura, and Paul Heaton, </w:t>
      </w:r>
      <w:r w:rsidRPr="00921EC5">
        <w:rPr>
          <w:rFonts w:ascii="Avenir Book" w:hAnsi="Avenir Book"/>
          <w:i/>
          <w:iCs/>
          <w:color w:val="000000" w:themeColor="text1"/>
          <w:sz w:val="18"/>
          <w:szCs w:val="18"/>
        </w:rPr>
        <w:t>The Effects of Holistic Defense on Criminal Justice Outcomes</w:t>
      </w:r>
      <w:r w:rsidRPr="00921EC5">
        <w:rPr>
          <w:rFonts w:ascii="Avenir Book" w:hAnsi="Avenir Book"/>
          <w:color w:val="000000" w:themeColor="text1"/>
          <w:sz w:val="18"/>
          <w:szCs w:val="18"/>
        </w:rPr>
        <w:t>, 132 Harv. L. Rev. 819 (2019).</w:t>
      </w:r>
    </w:p>
  </w:endnote>
  <w:endnote w:id="333">
    <w:p w14:paraId="00676FBD" w14:textId="4033CF0B"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34">
    <w:p w14:paraId="1B3654F1" w14:textId="31C576A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35">
    <w:p w14:paraId="0E656CA2" w14:textId="7DC30D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36">
    <w:p w14:paraId="640544DD" w14:textId="7371B2AD"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smallCaps/>
          <w:color w:val="000000" w:themeColor="text1"/>
          <w:sz w:val="18"/>
          <w:szCs w:val="18"/>
        </w:rPr>
        <w:t xml:space="preserve">ABA Standing Committee on Legal Aid and Indigent Defendants,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_Ref62729658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21</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Introduction.</w:t>
      </w:r>
    </w:p>
  </w:endnote>
  <w:endnote w:id="337">
    <w:p w14:paraId="392FAD19" w14:textId="2EB5A89B"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DeSimone,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note 164, at 1486.</w:t>
      </w:r>
    </w:p>
  </w:endnote>
  <w:endnote w:id="338">
    <w:p w14:paraId="7510779D" w14:textId="0AC4C45F"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Advisory Comm. on Servs. to Indigent Criminal Defendants,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_Ref62734686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12</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53.</w:t>
      </w:r>
    </w:p>
  </w:endnote>
  <w:endnote w:id="339">
    <w:p w14:paraId="13C9B295" w14:textId="4C39104C"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i/>
          <w:color w:val="000000" w:themeColor="text1"/>
          <w:sz w:val="18"/>
          <w:szCs w:val="18"/>
        </w:rPr>
        <w:t xml:space="preserve"> </w:t>
      </w:r>
      <w:r w:rsidRPr="00921EC5">
        <w:rPr>
          <w:rFonts w:ascii="Avenir Book" w:hAnsi="Avenir Book"/>
          <w:color w:val="000000" w:themeColor="text1"/>
          <w:sz w:val="18"/>
          <w:szCs w:val="18"/>
          <w:u w:val="single"/>
        </w:rPr>
        <w:t>Padilla</w:t>
      </w:r>
      <w:r w:rsidRPr="00921EC5">
        <w:rPr>
          <w:rFonts w:ascii="Avenir Book" w:hAnsi="Avenir Book"/>
          <w:color w:val="000000" w:themeColor="text1"/>
          <w:sz w:val="18"/>
          <w:szCs w:val="18"/>
        </w:rPr>
        <w:t>, 559 U.S. at 366.</w:t>
      </w:r>
    </w:p>
  </w:endnote>
  <w:endnote w:id="340">
    <w:p w14:paraId="3BD4AB03" w14:textId="715FDA6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Norman Lefstein, </w:t>
      </w:r>
      <w:r w:rsidRPr="00921EC5">
        <w:rPr>
          <w:rFonts w:ascii="Avenir Book" w:hAnsi="Avenir Book"/>
          <w:i/>
          <w:color w:val="000000" w:themeColor="text1"/>
          <w:sz w:val="18"/>
          <w:szCs w:val="18"/>
        </w:rPr>
        <w:t>In Search of Gideon’s Promise: Lessons from England and the Need for Federal Help</w:t>
      </w:r>
      <w:r w:rsidRPr="00921EC5">
        <w:rPr>
          <w:rFonts w:ascii="Avenir Book" w:hAnsi="Avenir Book"/>
          <w:color w:val="000000" w:themeColor="text1"/>
          <w:sz w:val="18"/>
          <w:szCs w:val="18"/>
        </w:rPr>
        <w:t xml:space="preserve">, 55 </w:t>
      </w:r>
      <w:r w:rsidRPr="00921EC5">
        <w:rPr>
          <w:rFonts w:ascii="Avenir Book" w:hAnsi="Avenir Book"/>
          <w:smallCaps/>
          <w:color w:val="000000" w:themeColor="text1"/>
          <w:sz w:val="18"/>
          <w:szCs w:val="18"/>
        </w:rPr>
        <w:t>Hastings L.J.</w:t>
      </w:r>
      <w:r w:rsidRPr="00921EC5">
        <w:rPr>
          <w:rFonts w:ascii="Avenir Book" w:hAnsi="Avenir Book"/>
          <w:color w:val="000000" w:themeColor="text1"/>
          <w:sz w:val="18"/>
          <w:szCs w:val="18"/>
        </w:rPr>
        <w:t xml:space="preserve"> 835, 906 (2004).</w:t>
      </w:r>
    </w:p>
  </w:endnote>
  <w:endnote w:id="341">
    <w:p w14:paraId="68B1645C" w14:textId="0DD28AC2"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Const. Proj., Justice Denied,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note 85, at</w:t>
      </w:r>
      <w:r w:rsidRPr="00921EC5">
        <w:rPr>
          <w:rFonts w:ascii="Avenir Book" w:hAnsi="Avenir Book"/>
          <w:smallCaps/>
          <w:color w:val="000000" w:themeColor="text1"/>
          <w:sz w:val="18"/>
          <w:szCs w:val="18"/>
        </w:rPr>
        <w:t xml:space="preserve"> </w:t>
      </w:r>
      <w:r w:rsidRPr="00921EC5">
        <w:rPr>
          <w:rFonts w:ascii="Avenir Book" w:hAnsi="Avenir Book"/>
          <w:color w:val="000000" w:themeColor="text1"/>
          <w:sz w:val="18"/>
          <w:szCs w:val="18"/>
        </w:rPr>
        <w:t>91.</w:t>
      </w:r>
    </w:p>
  </w:endnote>
  <w:endnote w:id="342">
    <w:p w14:paraId="78640831" w14:textId="6CE799BC" w:rsidR="00D267E7" w:rsidRPr="00921EC5" w:rsidRDefault="00D267E7" w:rsidP="00921EC5">
      <w:pPr>
        <w:pStyle w:val="EndnoteText"/>
        <w:jc w:val="both"/>
        <w:rPr>
          <w:rFonts w:ascii="Avenir Book" w:hAnsi="Avenir Book"/>
          <w:i/>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smallCaps/>
          <w:color w:val="000000" w:themeColor="text1"/>
          <w:sz w:val="18"/>
          <w:szCs w:val="18"/>
        </w:rPr>
        <w:t xml:space="preserve">Advisory Comm. on Servs. to Indigent Criminal Defendants,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_Ref62734686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12</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9.</w:t>
      </w:r>
    </w:p>
  </w:endnote>
  <w:endnote w:id="343">
    <w:p w14:paraId="3652CC53" w14:textId="71A14D4B"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New York State, First Judicial Department Indigent Defense Organization Oversight Committee, </w:t>
      </w:r>
      <w:r w:rsidRPr="00921EC5">
        <w:rPr>
          <w:rFonts w:ascii="Avenir Book" w:hAnsi="Avenir Book"/>
          <w:smallCaps/>
          <w:color w:val="000000" w:themeColor="text1"/>
          <w:sz w:val="18"/>
          <w:szCs w:val="18"/>
        </w:rPr>
        <w:t xml:space="preserve">General Requirements For All Organized Providers Of Defense Services To Indigent Defendants, </w:t>
      </w:r>
      <w:r w:rsidRPr="00921EC5">
        <w:rPr>
          <w:rFonts w:ascii="Avenir Book" w:hAnsi="Avenir Book"/>
          <w:color w:val="000000" w:themeColor="text1"/>
          <w:sz w:val="18"/>
          <w:szCs w:val="18"/>
        </w:rPr>
        <w:t xml:space="preserve">Indigent Defense Organization Oversight Committee, 1 (July 1, 1996, as amended May 2011) </w:t>
      </w:r>
      <w:hyperlink r:id="rId35">
        <w:r w:rsidRPr="00921EC5">
          <w:rPr>
            <w:rFonts w:ascii="Avenir Book" w:hAnsi="Avenir Book"/>
            <w:color w:val="000000" w:themeColor="text1"/>
            <w:sz w:val="18"/>
            <w:szCs w:val="18"/>
            <w:u w:val="single"/>
          </w:rPr>
          <w:t>http://www.courts.state.ny.us/courts/ad1/Committees&amp;Programs/IndigentDefOrgOversightComm/general%20_requirements.pdf</w:t>
        </w:r>
      </w:hyperlink>
      <w:r w:rsidRPr="00921EC5">
        <w:rPr>
          <w:rFonts w:ascii="Avenir Book" w:hAnsi="Avenir Book"/>
          <w:color w:val="000000" w:themeColor="text1"/>
          <w:sz w:val="18"/>
          <w:szCs w:val="18"/>
        </w:rPr>
        <w:t xml:space="preserve"> </w:t>
      </w:r>
    </w:p>
  </w:endnote>
  <w:endnote w:id="344">
    <w:p w14:paraId="4E04A2C5" w14:textId="2D33DB01"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r w:rsidRPr="00921EC5">
        <w:rPr>
          <w:rFonts w:ascii="Avenir Book" w:hAnsi="Avenir Book"/>
          <w:color w:val="000000" w:themeColor="text1"/>
          <w:sz w:val="18"/>
          <w:szCs w:val="18"/>
        </w:rPr>
        <w:t xml:space="preserve"> at 4. </w:t>
      </w:r>
    </w:p>
  </w:endnote>
  <w:endnote w:id="345">
    <w:p w14:paraId="22E535BC" w14:textId="27AF1F93"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r w:rsidRPr="00921EC5">
        <w:rPr>
          <w:rFonts w:ascii="Avenir Book" w:hAnsi="Avenir Book"/>
          <w:color w:val="000000" w:themeColor="text1"/>
          <w:sz w:val="18"/>
          <w:szCs w:val="18"/>
        </w:rPr>
        <w:t xml:space="preserve"> </w:t>
      </w:r>
    </w:p>
  </w:endnote>
  <w:endnote w:id="346">
    <w:p w14:paraId="4E4B42CA" w14:textId="64B9588D"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Wallace &amp; Carroll</w:t>
      </w:r>
      <w:r w:rsidRPr="00921EC5">
        <w:rPr>
          <w:rFonts w:ascii="Avenir Book" w:hAnsi="Avenir Book"/>
          <w:smallCaps/>
          <w:color w:val="000000" w:themeColor="text1"/>
          <w:sz w:val="18"/>
          <w:szCs w:val="18"/>
        </w:rPr>
        <w:t xml:space="preserv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_Ref62813967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97</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iii.</w:t>
      </w:r>
    </w:p>
  </w:endnote>
  <w:endnote w:id="347">
    <w:p w14:paraId="384E22E3" w14:textId="33E9B9F8"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48">
    <w:p w14:paraId="289D40B3" w14:textId="3C472998"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r w:rsidRPr="00921EC5">
        <w:rPr>
          <w:rFonts w:ascii="Avenir Book" w:hAnsi="Avenir Book"/>
          <w:color w:val="000000" w:themeColor="text1"/>
          <w:sz w:val="18"/>
          <w:szCs w:val="18"/>
        </w:rPr>
        <w:t xml:space="preserve">  at 30.</w:t>
      </w:r>
    </w:p>
  </w:endnote>
  <w:endnote w:id="349">
    <w:p w14:paraId="33C7CB86" w14:textId="61966D0D"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Carroll,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_Ref62741146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106</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w:t>
      </w:r>
    </w:p>
  </w:endnote>
  <w:endnote w:id="350">
    <w:p w14:paraId="12D7ABE0" w14:textId="3607B3BE"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51">
    <w:p w14:paraId="76E95BD5" w14:textId="6A381A96"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Wallace &amp; Carroll</w:t>
      </w:r>
      <w:r w:rsidRPr="00921EC5">
        <w:rPr>
          <w:rFonts w:ascii="Avenir Book" w:hAnsi="Avenir Book"/>
          <w:smallCaps/>
          <w:color w:val="000000" w:themeColor="text1"/>
          <w:sz w:val="18"/>
          <w:szCs w:val="18"/>
        </w:rPr>
        <w:t xml:space="preserv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_Ref62813967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97</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iv.</w:t>
      </w:r>
    </w:p>
  </w:endnote>
  <w:endnote w:id="352">
    <w:p w14:paraId="7174E1B4" w14:textId="40E323BD"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53">
    <w:p w14:paraId="2C03A2D0" w14:textId="6C1FD512"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iCs/>
          <w:color w:val="000000" w:themeColor="text1"/>
          <w:sz w:val="18"/>
          <w:szCs w:val="18"/>
        </w:rPr>
        <w:t>See</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Const. Proj., Justice Denied,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note 85.</w:t>
      </w:r>
    </w:p>
  </w:endnote>
  <w:endnote w:id="354">
    <w:p w14:paraId="2289D91C" w14:textId="686575D0"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Wallace &amp; Carroll</w:t>
      </w:r>
      <w:r w:rsidRPr="00921EC5">
        <w:rPr>
          <w:rFonts w:ascii="Avenir Book" w:hAnsi="Avenir Book"/>
          <w:smallCaps/>
          <w:color w:val="000000" w:themeColor="text1"/>
          <w:sz w:val="18"/>
          <w:szCs w:val="18"/>
        </w:rPr>
        <w:t xml:space="preserv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_Ref62813967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97</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8.</w:t>
      </w:r>
    </w:p>
  </w:endnote>
  <w:endnote w:id="355">
    <w:p w14:paraId="1D5ACEF5" w14:textId="533B14A8"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56">
    <w:p w14:paraId="3FC240EE" w14:textId="02CC3EE0"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57">
    <w:p w14:paraId="1A41BF95" w14:textId="3174339C"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r w:rsidRPr="00921EC5">
        <w:rPr>
          <w:rFonts w:ascii="Avenir Book" w:hAnsi="Avenir Book"/>
          <w:color w:val="000000" w:themeColor="text1"/>
          <w:sz w:val="18"/>
          <w:szCs w:val="18"/>
        </w:rPr>
        <w:t xml:space="preserve"> at 9 (emphasis added).</w:t>
      </w:r>
    </w:p>
  </w:endnote>
  <w:endnote w:id="358">
    <w:p w14:paraId="675F77CA" w14:textId="7FA6945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59">
    <w:p w14:paraId="54837738" w14:textId="593C531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60">
    <w:p w14:paraId="52817C54" w14:textId="52CB3851"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61">
    <w:p w14:paraId="4C8B8C50" w14:textId="1146974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Const. Proj., Justice Denied,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note 85, at 162.</w:t>
      </w:r>
    </w:p>
  </w:endnote>
  <w:endnote w:id="362">
    <w:p w14:paraId="2092C530" w14:textId="64E8B46F"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63">
    <w:p w14:paraId="39A37A09" w14:textId="1B7EE558"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r w:rsidRPr="00921EC5">
        <w:rPr>
          <w:rFonts w:ascii="Avenir Book" w:hAnsi="Avenir Book"/>
          <w:color w:val="000000" w:themeColor="text1"/>
          <w:sz w:val="18"/>
          <w:szCs w:val="18"/>
        </w:rPr>
        <w:t xml:space="preserve"> at 163-64.</w:t>
      </w:r>
    </w:p>
  </w:endnote>
  <w:endnote w:id="364">
    <w:p w14:paraId="4F8D7C91" w14:textId="48901B29"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Carroll,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_Ref62741146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106</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w:t>
      </w:r>
    </w:p>
  </w:endnote>
  <w:endnote w:id="365">
    <w:p w14:paraId="01F0A397" w14:textId="6B99AEB4"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66">
    <w:p w14:paraId="07C09454" w14:textId="4CFB6A76"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67">
    <w:p w14:paraId="0206FE0A"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Sixth Amendment Ctr.,</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Texas</w:t>
      </w:r>
      <w:r w:rsidRPr="00921EC5">
        <w:rPr>
          <w:rFonts w:ascii="Avenir Book" w:hAnsi="Avenir Book"/>
          <w:color w:val="000000" w:themeColor="text1"/>
          <w:sz w:val="18"/>
          <w:szCs w:val="18"/>
        </w:rPr>
        <w:t xml:space="preserve">, </w:t>
      </w:r>
      <w:hyperlink r:id="rId36">
        <w:r w:rsidRPr="00921EC5">
          <w:rPr>
            <w:rFonts w:ascii="Avenir Book" w:hAnsi="Avenir Book"/>
            <w:color w:val="000000" w:themeColor="text1"/>
            <w:sz w:val="18"/>
            <w:szCs w:val="18"/>
            <w:u w:val="single"/>
          </w:rPr>
          <w:t>https://sixthamendment.org/know-your-state/texas/</w:t>
        </w:r>
      </w:hyperlink>
    </w:p>
  </w:endnote>
  <w:endnote w:id="368">
    <w:p w14:paraId="4D171157" w14:textId="1FC4BD4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Interviews, </w:t>
      </w:r>
      <w:r w:rsidRPr="00921EC5">
        <w:rPr>
          <w:rFonts w:ascii="Avenir Book" w:hAnsi="Avenir Book"/>
          <w:i/>
          <w:iCs/>
          <w:color w:val="000000" w:themeColor="text1"/>
          <w:sz w:val="18"/>
          <w:szCs w:val="18"/>
        </w:rPr>
        <w:t>supra</w:t>
      </w:r>
      <w:r w:rsidRPr="00921EC5">
        <w:rPr>
          <w:rFonts w:ascii="Avenir Book" w:hAnsi="Avenir Book"/>
          <w:color w:val="000000" w:themeColor="text1"/>
          <w:sz w:val="18"/>
          <w:szCs w:val="18"/>
        </w:rPr>
        <w:t xml:space="preserve"> note 91.</w:t>
      </w:r>
    </w:p>
  </w:endnote>
  <w:endnote w:id="369">
    <w:p w14:paraId="09010D3A" w14:textId="246D788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70">
    <w:p w14:paraId="08651CA7" w14:textId="50AB034F"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71">
    <w:p w14:paraId="2A08D716" w14:textId="74CF271C"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72">
    <w:p w14:paraId="3030251C" w14:textId="396B6956"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73">
    <w:p w14:paraId="420C6CE7" w14:textId="7B5293D4"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74">
    <w:p w14:paraId="71BAA990" w14:textId="150D6806"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75">
    <w:p w14:paraId="2107FCBD" w14:textId="7C03BA34"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76">
    <w:p w14:paraId="4A77A937" w14:textId="6DF38865"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77">
    <w:p w14:paraId="7145152B" w14:textId="6ABD0C82" w:rsidR="00D267E7" w:rsidRPr="00921EC5" w:rsidRDefault="00D267E7" w:rsidP="00921EC5">
      <w:pPr>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Examples of formal policies adopted by public defender offices include those setting forth guidance regarding equal employment and diversity; confidentiality; maintenance and form of case files; caseload management; political activity; expenditures for expert services; performance standards and evaluations; ineffective assistance of counsel responses; general code of conduct; ethical adherence; promotions and salary increases; complaint channels and procedures; adverse action/discrimination claims; time off and leave; client correspondence and decisionmaking; CLE compliance and training expectations; etc.</w:t>
      </w:r>
    </w:p>
  </w:endnote>
  <w:endnote w:id="378">
    <w:p w14:paraId="6BA3728D" w14:textId="77777777" w:rsidR="00D267E7" w:rsidRPr="00921EC5" w:rsidRDefault="00D267E7" w:rsidP="00921EC5">
      <w:pPr>
        <w:pStyle w:val="EndnoteText"/>
        <w:jc w:val="both"/>
        <w:rPr>
          <w:rFonts w:ascii="Avenir Book" w:hAnsi="Avenir Book"/>
          <w:i/>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color w:val="000000" w:themeColor="text1"/>
          <w:sz w:val="18"/>
          <w:szCs w:val="18"/>
        </w:rPr>
        <w:t>16</w:t>
      </w:r>
      <w:r w:rsidRPr="00921EC5">
        <w:rPr>
          <w:rFonts w:ascii="Avenir Book" w:hAnsi="Avenir Book"/>
          <w:smallCaps/>
          <w:color w:val="000000" w:themeColor="text1"/>
          <w:sz w:val="18"/>
          <w:szCs w:val="18"/>
        </w:rPr>
        <w:t xml:space="preserve"> Pa. Stat. and Cons. Stat. Ann.</w:t>
      </w:r>
      <w:r w:rsidRPr="00921EC5">
        <w:rPr>
          <w:rFonts w:ascii="Avenir Book" w:hAnsi="Avenir Book"/>
          <w:color w:val="000000" w:themeColor="text1"/>
          <w:sz w:val="18"/>
          <w:szCs w:val="18"/>
        </w:rPr>
        <w:t xml:space="preserve"> § 9960 (West 2020).</w:t>
      </w:r>
    </w:p>
  </w:endnote>
  <w:endnote w:id="379">
    <w:p w14:paraId="786E87AD" w14:textId="1028B479"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Interviews, </w:t>
      </w:r>
      <w:r w:rsidRPr="00921EC5">
        <w:rPr>
          <w:rFonts w:ascii="Avenir Book" w:hAnsi="Avenir Book"/>
          <w:i/>
          <w:iCs/>
          <w:color w:val="000000" w:themeColor="text1"/>
          <w:sz w:val="18"/>
          <w:szCs w:val="18"/>
        </w:rPr>
        <w:t>supra</w:t>
      </w:r>
      <w:r w:rsidRPr="00921EC5">
        <w:rPr>
          <w:rFonts w:ascii="Avenir Book" w:hAnsi="Avenir Book"/>
          <w:color w:val="000000" w:themeColor="text1"/>
          <w:sz w:val="18"/>
          <w:szCs w:val="18"/>
        </w:rPr>
        <w:t xml:space="preserve"> note 91.</w:t>
      </w:r>
    </w:p>
  </w:endnote>
  <w:endnote w:id="380">
    <w:p w14:paraId="4357ECD0" w14:textId="383F6E74"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81">
    <w:p w14:paraId="676703DD" w14:textId="030FCF0E"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82">
    <w:p w14:paraId="760C2D9E" w14:textId="28123173"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83">
    <w:p w14:paraId="4C3EFBA9" w14:textId="5FDC369D"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84">
    <w:p w14:paraId="27496693" w14:textId="65A7C0A6"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85">
    <w:p w14:paraId="45F0E99F" w14:textId="7D960F8E"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86">
    <w:p w14:paraId="463F58E5" w14:textId="20CBB79E"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387">
    <w:p w14:paraId="280A66AD" w14:textId="180AE669"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color w:val="000000" w:themeColor="text1"/>
          <w:sz w:val="18"/>
          <w:szCs w:val="18"/>
        </w:rPr>
        <w:t xml:space="preserve">16 </w:t>
      </w:r>
      <w:r w:rsidRPr="00921EC5">
        <w:rPr>
          <w:rFonts w:ascii="Avenir Book" w:hAnsi="Avenir Book"/>
          <w:smallCaps/>
          <w:color w:val="000000" w:themeColor="text1"/>
          <w:sz w:val="18"/>
          <w:szCs w:val="18"/>
        </w:rPr>
        <w:t>Pa. Stat. and Cons. Stat. Ann.</w:t>
      </w:r>
      <w:r w:rsidRPr="00921EC5">
        <w:rPr>
          <w:rFonts w:ascii="Avenir Book" w:hAnsi="Avenir Book"/>
          <w:color w:val="000000" w:themeColor="text1"/>
          <w:sz w:val="18"/>
          <w:szCs w:val="18"/>
        </w:rPr>
        <w:t xml:space="preserve"> §§ 9960.1–9960.13.</w:t>
      </w:r>
    </w:p>
  </w:endnote>
  <w:endnote w:id="388">
    <w:p w14:paraId="2243D071" w14:textId="492AC374" w:rsidR="00D267E7" w:rsidRPr="00921EC5" w:rsidRDefault="00D267E7" w:rsidP="00921EC5">
      <w:pPr>
        <w:pStyle w:val="EndnoteText"/>
        <w:jc w:val="both"/>
        <w:rPr>
          <w:rFonts w:ascii="Avenir Book" w:hAnsi="Avenir Book"/>
          <w:color w:val="000000" w:themeColor="text1"/>
          <w:sz w:val="2"/>
          <w:szCs w:val="2"/>
        </w:rPr>
      </w:pPr>
    </w:p>
  </w:endnote>
  <w:endnote w:id="389">
    <w:p w14:paraId="0F88D89B" w14:textId="634EC74C" w:rsidR="00D267E7" w:rsidRPr="00921EC5" w:rsidRDefault="00D267E7" w:rsidP="00921EC5">
      <w:pPr>
        <w:pStyle w:val="EndnoteText"/>
        <w:jc w:val="both"/>
        <w:rPr>
          <w:rFonts w:ascii="Avenir Book" w:hAnsi="Avenir Book"/>
          <w:i/>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smallCaps/>
          <w:color w:val="000000" w:themeColor="text1"/>
          <w:sz w:val="18"/>
          <w:szCs w:val="18"/>
        </w:rPr>
        <w:t>Nat’l Ass’n of Pub. Defs</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Policy Statement on Independence</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_Ref62729886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15</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w:t>
      </w:r>
    </w:p>
  </w:endnote>
  <w:endnote w:id="390">
    <w:p w14:paraId="0CD655F5" w14:textId="78E9A47F"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iCs/>
          <w:color w:val="000000" w:themeColor="text1"/>
          <w:sz w:val="18"/>
          <w:szCs w:val="18"/>
        </w:rPr>
        <w:t xml:space="preserve">See </w:t>
      </w:r>
      <w:r w:rsidRPr="00921EC5">
        <w:rPr>
          <w:rFonts w:ascii="Avenir Book" w:hAnsi="Avenir Book"/>
          <w:color w:val="000000" w:themeColor="text1"/>
          <w:sz w:val="18"/>
          <w:szCs w:val="18"/>
        </w:rPr>
        <w:t>Montgomery County website, Boards &amp; Commissions,</w:t>
      </w:r>
      <w:r w:rsidRPr="00921EC5">
        <w:rPr>
          <w:rFonts w:ascii="Avenir Book" w:hAnsi="Avenir Book"/>
          <w:i/>
          <w:iCs/>
          <w:color w:val="000000" w:themeColor="text1"/>
          <w:sz w:val="18"/>
          <w:szCs w:val="18"/>
        </w:rPr>
        <w:t xml:space="preserve"> </w:t>
      </w:r>
      <w:hyperlink r:id="rId37" w:tgtFrame="_blank" w:history="1">
        <w:r w:rsidRPr="00921EC5">
          <w:rPr>
            <w:rStyle w:val="Hyperlink"/>
            <w:rFonts w:ascii="Avenir Book" w:hAnsi="Avenir Book"/>
            <w:i/>
            <w:iCs/>
            <w:color w:val="000000" w:themeColor="text1"/>
            <w:sz w:val="18"/>
            <w:szCs w:val="18"/>
          </w:rPr>
          <w:t>https://www.montcopa.org/94/Boards-Commissions</w:t>
        </w:r>
      </w:hyperlink>
      <w:r w:rsidRPr="00921EC5">
        <w:rPr>
          <w:rFonts w:ascii="Avenir Book" w:hAnsi="Avenir Book"/>
          <w:i/>
          <w:iCs/>
          <w:color w:val="000000" w:themeColor="text1"/>
          <w:sz w:val="18"/>
          <w:szCs w:val="18"/>
        </w:rPr>
        <w:t xml:space="preserve"> </w:t>
      </w:r>
      <w:r w:rsidRPr="00921EC5">
        <w:rPr>
          <w:rFonts w:ascii="Avenir Book" w:hAnsi="Avenir Book"/>
          <w:color w:val="000000" w:themeColor="text1"/>
          <w:sz w:val="18"/>
          <w:szCs w:val="18"/>
        </w:rPr>
        <w:t>(last accessed 01/27/2021).</w:t>
      </w:r>
    </w:p>
  </w:endnote>
  <w:endnote w:id="391">
    <w:p w14:paraId="31495F6C" w14:textId="4E5B4865"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Sixth Amendment Ctr., Oregon, </w:t>
      </w:r>
      <w:r w:rsidRPr="00921EC5">
        <w:rPr>
          <w:rFonts w:ascii="Avenir Book" w:hAnsi="Avenir Book"/>
          <w:i/>
          <w:iCs/>
          <w:color w:val="000000" w:themeColor="text1"/>
          <w:sz w:val="18"/>
          <w:szCs w:val="18"/>
        </w:rPr>
        <w:t>supra</w:t>
      </w:r>
      <w:r w:rsidRPr="00921EC5">
        <w:rPr>
          <w:rFonts w:ascii="Avenir Book" w:hAnsi="Avenir Book"/>
          <w:color w:val="000000" w:themeColor="text1"/>
          <w:sz w:val="18"/>
          <w:szCs w:val="18"/>
        </w:rPr>
        <w:t xml:space="preserve"> note 135.</w:t>
      </w:r>
    </w:p>
  </w:endnote>
  <w:endnote w:id="392">
    <w:p w14:paraId="66DE79B7" w14:textId="27A3C194"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See</w:t>
      </w:r>
      <w:r w:rsidRPr="00921EC5">
        <w:rPr>
          <w:rFonts w:ascii="Avenir Book" w:hAnsi="Avenir Book"/>
          <w:smallCaps/>
          <w:color w:val="000000" w:themeColor="text1"/>
          <w:sz w:val="18"/>
          <w:szCs w:val="18"/>
        </w:rPr>
        <w:t xml:space="preserve">  Nat’l Ass’n of Pub. Defs</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Policy Statement on Independence</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_Ref62729886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15</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w:t>
      </w:r>
    </w:p>
  </w:endnote>
  <w:endnote w:id="393">
    <w:p w14:paraId="7FF04641" w14:textId="292A32D8" w:rsidR="00D267E7" w:rsidRPr="00921EC5" w:rsidRDefault="00D267E7" w:rsidP="00921EC5">
      <w:pPr>
        <w:pStyle w:val="EndnoteText"/>
        <w:jc w:val="both"/>
        <w:rPr>
          <w:rFonts w:ascii="Avenir Book" w:hAnsi="Avenir Book"/>
          <w:i/>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It is critical that there is no implication that public defenders are subject to control of their adversaries. </w:t>
      </w:r>
      <w:r w:rsidRPr="00921EC5">
        <w:rPr>
          <w:rFonts w:ascii="Avenir Book" w:hAnsi="Avenir Book"/>
          <w:i/>
          <w:color w:val="000000" w:themeColor="text1"/>
          <w:sz w:val="18"/>
          <w:szCs w:val="18"/>
        </w:rPr>
        <w:t xml:space="preserve">See </w:t>
      </w:r>
      <w:r w:rsidRPr="00921EC5">
        <w:rPr>
          <w:rFonts w:ascii="Avenir Book" w:hAnsi="Avenir Book"/>
          <w:smallCaps/>
          <w:color w:val="000000" w:themeColor="text1"/>
          <w:sz w:val="18"/>
          <w:szCs w:val="18"/>
        </w:rPr>
        <w:t>American Bar Association Standards For Criminal Justice,</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Providing Defense Services</w:t>
      </w:r>
      <w:r w:rsidRPr="00921EC5">
        <w:rPr>
          <w:rFonts w:ascii="Avenir Book" w:hAnsi="Avenir Book"/>
          <w:color w:val="000000" w:themeColor="text1"/>
          <w:sz w:val="18"/>
          <w:szCs w:val="18"/>
        </w:rPr>
        <w:t xml:space="preserve"> (3rd ed. 1992), Standard 5-1.3; </w:t>
      </w:r>
      <w:r w:rsidRPr="00921EC5">
        <w:rPr>
          <w:rFonts w:ascii="Avenir Book" w:hAnsi="Avenir Book"/>
          <w:i/>
          <w:color w:val="000000" w:themeColor="text1"/>
          <w:sz w:val="18"/>
          <w:szCs w:val="18"/>
        </w:rPr>
        <w:t xml:space="preserve">see also </w:t>
      </w:r>
      <w:r w:rsidRPr="00921EC5">
        <w:rPr>
          <w:rFonts w:ascii="Avenir Book" w:hAnsi="Avenir Book"/>
          <w:smallCaps/>
          <w:color w:val="000000" w:themeColor="text1"/>
          <w:sz w:val="18"/>
          <w:szCs w:val="18"/>
        </w:rPr>
        <w:t>Nat’l Ass’n of Pub. Defs</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Policy Statement on Independence</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_Ref62729886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15</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w:t>
      </w:r>
    </w:p>
  </w:endnote>
  <w:endnote w:id="394">
    <w:p w14:paraId="3FC43794"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Const. Proj., Justice Denied: America’s Continuing Neglect of Our Constitutional Right to Counsel</w:t>
      </w:r>
      <w:r w:rsidRPr="00921EC5">
        <w:rPr>
          <w:rFonts w:ascii="Avenir Book" w:hAnsi="Avenir Book"/>
          <w:color w:val="000000" w:themeColor="text1"/>
          <w:sz w:val="18"/>
          <w:szCs w:val="18"/>
        </w:rPr>
        <w:t xml:space="preserve"> 160 (2009).</w:t>
      </w:r>
    </w:p>
  </w:endnote>
  <w:endnote w:id="395">
    <w:p w14:paraId="65950E4B" w14:textId="77777777" w:rsidR="00D267E7" w:rsidRPr="00921EC5" w:rsidRDefault="00D267E7" w:rsidP="00921EC5">
      <w:pPr>
        <w:pStyle w:val="EndnoteText"/>
        <w:jc w:val="both"/>
        <w:rPr>
          <w:rFonts w:ascii="Avenir Book" w:hAnsi="Avenir Book"/>
          <w:i/>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smallCaps/>
          <w:color w:val="000000" w:themeColor="text1"/>
          <w:sz w:val="18"/>
          <w:szCs w:val="18"/>
        </w:rPr>
        <w:t>Univ. Pa. Quattrone Ctr., Legal Landscape (2020) (</w:t>
      </w:r>
      <w:r w:rsidRPr="00921EC5">
        <w:rPr>
          <w:rFonts w:ascii="Avenir Book" w:hAnsi="Avenir Book"/>
          <w:color w:val="000000" w:themeColor="text1"/>
          <w:sz w:val="18"/>
          <w:szCs w:val="18"/>
        </w:rPr>
        <w:t>describing the Travis County, TX local commission comprising academic, private defense attorney, former public defender, individuals impacted by the criminal justice system, community advocates, a retired judge, and a commissioner’s court representative)</w:t>
      </w:r>
      <w:r w:rsidRPr="00921EC5">
        <w:rPr>
          <w:rFonts w:ascii="Avenir Book" w:hAnsi="Avenir Book"/>
          <w:smallCaps/>
          <w:color w:val="000000" w:themeColor="text1"/>
          <w:sz w:val="18"/>
          <w:szCs w:val="18"/>
        </w:rPr>
        <w:t>.</w:t>
      </w:r>
    </w:p>
  </w:endnote>
  <w:endnote w:id="396">
    <w:p w14:paraId="225231CF" w14:textId="1C5BBF6A" w:rsidR="00D267E7" w:rsidRPr="00921EC5" w:rsidRDefault="00D267E7" w:rsidP="00921EC5">
      <w:pPr>
        <w:pStyle w:val="EndnoteText"/>
        <w:jc w:val="both"/>
        <w:rPr>
          <w:rFonts w:ascii="Avenir Book" w:hAnsi="Avenir Book"/>
          <w:i/>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See</w:t>
      </w:r>
      <w:r w:rsidRPr="00921EC5">
        <w:rPr>
          <w:rFonts w:ascii="Avenir Book" w:hAnsi="Avenir Book"/>
          <w:smallCaps/>
          <w:color w:val="000000" w:themeColor="text1"/>
          <w:sz w:val="18"/>
          <w:szCs w:val="18"/>
        </w:rPr>
        <w:t xml:space="preserve">  Nat’l Ass’n of Pub. Defs</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Policy Statement on Independence</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_Ref62729886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15</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xml:space="preserve">. (stating that an independent commission “should have appointees who have staggered term limits made by multiple appointing authorities”). </w:t>
      </w:r>
    </w:p>
  </w:endnote>
  <w:endnote w:id="397">
    <w:p w14:paraId="464D8E84"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color w:val="000000" w:themeColor="text1"/>
          <w:sz w:val="18"/>
          <w:szCs w:val="18"/>
        </w:rPr>
        <w:t xml:space="preserve">16 </w:t>
      </w:r>
      <w:r w:rsidRPr="00921EC5">
        <w:rPr>
          <w:rFonts w:ascii="Avenir Book" w:hAnsi="Avenir Book"/>
          <w:smallCaps/>
          <w:color w:val="000000" w:themeColor="text1"/>
          <w:sz w:val="18"/>
          <w:szCs w:val="18"/>
        </w:rPr>
        <w:t>Pa. Stat. and Cons. Stat. Ann.</w:t>
      </w:r>
      <w:r w:rsidRPr="00921EC5">
        <w:rPr>
          <w:rFonts w:ascii="Avenir Book" w:hAnsi="Avenir Book"/>
          <w:color w:val="000000" w:themeColor="text1"/>
          <w:sz w:val="18"/>
          <w:szCs w:val="18"/>
        </w:rPr>
        <w:t xml:space="preserve"> §§ 9960.1–9960.13 (West 2020). </w:t>
      </w:r>
    </w:p>
  </w:endnote>
  <w:endnote w:id="398">
    <w:p w14:paraId="6B8D7F6D" w14:textId="1F59D76D" w:rsidR="00D267E7" w:rsidRPr="00921EC5" w:rsidRDefault="00D267E7" w:rsidP="00921EC5">
      <w:pPr>
        <w:pStyle w:val="EndnoteText"/>
        <w:jc w:val="both"/>
        <w:rPr>
          <w:rFonts w:ascii="Avenir Book" w:hAnsi="Avenir Book"/>
          <w:i/>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See</w:t>
      </w:r>
      <w:r w:rsidRPr="00921EC5">
        <w:rPr>
          <w:rFonts w:ascii="Avenir Book" w:hAnsi="Avenir Book"/>
          <w:smallCaps/>
          <w:color w:val="000000" w:themeColor="text1"/>
          <w:sz w:val="18"/>
          <w:szCs w:val="18"/>
        </w:rPr>
        <w:t xml:space="preserve">  Nat’l Ass’n of Pub. Defs</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Policy Statement on Independence</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_Ref62729886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15</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xml:space="preserve"> (advocating for removal of the Chief Public Defender for good cause only and after being given due process).</w:t>
      </w:r>
    </w:p>
  </w:endnote>
  <w:endnote w:id="399">
    <w:p w14:paraId="3199D51A"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Interviews, </w:t>
      </w:r>
      <w:r w:rsidRPr="00921EC5">
        <w:rPr>
          <w:rFonts w:ascii="Avenir Book" w:hAnsi="Avenir Book"/>
          <w:i/>
          <w:iCs/>
          <w:color w:val="000000" w:themeColor="text1"/>
          <w:sz w:val="18"/>
          <w:szCs w:val="18"/>
        </w:rPr>
        <w:t>supra</w:t>
      </w:r>
      <w:r w:rsidRPr="00921EC5">
        <w:rPr>
          <w:rFonts w:ascii="Avenir Book" w:hAnsi="Avenir Book"/>
          <w:color w:val="000000" w:themeColor="text1"/>
          <w:sz w:val="18"/>
          <w:szCs w:val="18"/>
        </w:rPr>
        <w:t xml:space="preserve"> note 91.</w:t>
      </w:r>
    </w:p>
  </w:endnote>
  <w:endnote w:id="400">
    <w:p w14:paraId="35EB09CE" w14:textId="58F7A364"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401">
    <w:p w14:paraId="09049921" w14:textId="0A2F26B7" w:rsidR="00D267E7" w:rsidRPr="00921EC5" w:rsidRDefault="00D267E7" w:rsidP="00921EC5">
      <w:pPr>
        <w:pStyle w:val="EndnoteText"/>
        <w:jc w:val="both"/>
        <w:rPr>
          <w:rFonts w:ascii="Avenir Book" w:eastAsia="Arial"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Interviews, </w:t>
      </w:r>
      <w:r w:rsidRPr="00921EC5">
        <w:rPr>
          <w:rFonts w:ascii="Avenir Book" w:hAnsi="Avenir Book"/>
          <w:i/>
          <w:iCs/>
          <w:color w:val="000000" w:themeColor="text1"/>
          <w:sz w:val="18"/>
          <w:szCs w:val="18"/>
        </w:rPr>
        <w:t>supra</w:t>
      </w:r>
      <w:r w:rsidRPr="00921EC5">
        <w:rPr>
          <w:rFonts w:ascii="Avenir Book" w:hAnsi="Avenir Book"/>
          <w:color w:val="000000" w:themeColor="text1"/>
          <w:sz w:val="18"/>
          <w:szCs w:val="18"/>
        </w:rPr>
        <w:t xml:space="preserve"> note 91.</w:t>
      </w:r>
    </w:p>
  </w:endnote>
  <w:endnote w:id="402">
    <w:p w14:paraId="5E41C40D" w14:textId="2B4D845F"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Advisory Comm. on Servs. to Indigent Criminal Defendants,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_Ref62734686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12</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88-89.</w:t>
      </w:r>
    </w:p>
  </w:endnote>
  <w:endnote w:id="403">
    <w:p w14:paraId="348CBA5F" w14:textId="593D2B53"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Steinberg &amp; Feige,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310, at 124.</w:t>
      </w:r>
    </w:p>
  </w:endnote>
  <w:endnote w:id="404">
    <w:p w14:paraId="15D69240" w14:textId="2E01F33E"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To maintain a positive office culture within indigent defense services and ensure the quality of indigent representation, the caseloads of defense attorneys should be effectively managed and kept to reasonable levels. </w:t>
      </w:r>
      <w:r w:rsidRPr="00921EC5">
        <w:rPr>
          <w:rFonts w:ascii="Avenir Book" w:hAnsi="Avenir Book"/>
          <w:i/>
          <w:color w:val="000000" w:themeColor="text1"/>
          <w:sz w:val="18"/>
          <w:szCs w:val="18"/>
        </w:rPr>
        <w:t>See</w:t>
      </w:r>
      <w:r w:rsidRPr="00921EC5">
        <w:rPr>
          <w:rFonts w:ascii="Avenir Book" w:hAnsi="Avenir Book"/>
          <w:color w:val="000000" w:themeColor="text1"/>
          <w:sz w:val="18"/>
          <w:szCs w:val="18"/>
        </w:rPr>
        <w:t>, Wallace &amp; Carroll</w:t>
      </w:r>
      <w:r w:rsidRPr="00921EC5">
        <w:rPr>
          <w:rFonts w:ascii="Avenir Book" w:hAnsi="Avenir Book"/>
          <w:smallCaps/>
          <w:color w:val="000000" w:themeColor="text1"/>
          <w:sz w:val="18"/>
          <w:szCs w:val="18"/>
        </w:rPr>
        <w:t xml:space="preserv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_Ref62813967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97</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19.</w:t>
      </w:r>
    </w:p>
  </w:endnote>
  <w:endnote w:id="405">
    <w:p w14:paraId="63B55C84" w14:textId="4EDC14B7" w:rsidR="00D267E7" w:rsidRPr="00921EC5" w:rsidRDefault="00D267E7" w:rsidP="00921EC5">
      <w:pPr>
        <w:pStyle w:val="EndnoteText"/>
        <w:jc w:val="both"/>
        <w:rPr>
          <w:rFonts w:ascii="Avenir Book" w:eastAsia="Arial"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Professional rules of conduct and model systems require that an attorney’s caseload and workload be controlled to ensure that they can deliver quality representation for their indigent defendants. </w:t>
      </w:r>
      <w:r w:rsidRPr="00921EC5">
        <w:rPr>
          <w:rFonts w:ascii="Avenir Book" w:hAnsi="Avenir Book"/>
          <w:i/>
          <w:color w:val="000000" w:themeColor="text1"/>
          <w:sz w:val="18"/>
          <w:szCs w:val="18"/>
        </w:rPr>
        <w:t>See</w:t>
      </w:r>
      <w:r w:rsidRPr="00921EC5">
        <w:rPr>
          <w:rFonts w:ascii="Avenir Book" w:hAnsi="Avenir Book"/>
          <w:color w:val="000000" w:themeColor="text1"/>
          <w:sz w:val="18"/>
          <w:szCs w:val="18"/>
        </w:rPr>
        <w:t xml:space="preserve"> Farole, Jr. &amp; Langton,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note 264.</w:t>
      </w:r>
    </w:p>
  </w:endnote>
  <w:endnote w:id="406">
    <w:p w14:paraId="3FAB27CB" w14:textId="33EDA752"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F. Randall Karfonta, </w:t>
      </w:r>
      <w:r w:rsidRPr="00921EC5">
        <w:rPr>
          <w:rFonts w:ascii="Avenir Book" w:hAnsi="Avenir Book"/>
          <w:i/>
          <w:color w:val="000000" w:themeColor="text1"/>
          <w:sz w:val="18"/>
          <w:szCs w:val="18"/>
        </w:rPr>
        <w:t>Balancing the Scales of Justice: Training and Support Services for Appointed Criminal Defense Lawyers</w:t>
      </w:r>
      <w:r w:rsidRPr="00921EC5">
        <w:rPr>
          <w:rFonts w:ascii="Avenir Book" w:hAnsi="Avenir Book"/>
          <w:color w:val="000000" w:themeColor="text1"/>
          <w:sz w:val="18"/>
          <w:szCs w:val="18"/>
        </w:rPr>
        <w:t xml:space="preserve">, 71 Mich. B.J. 164, 166 (1992). For example, the National Association of Criminal Defense Lawyers offers free public defense training programs for indigent defense providers whose training may be considered “grossly inadequate.” </w:t>
      </w:r>
      <w:r w:rsidRPr="00921EC5">
        <w:rPr>
          <w:rFonts w:ascii="Avenir Book" w:hAnsi="Avenir Book"/>
          <w:smallCaps/>
          <w:color w:val="000000" w:themeColor="text1"/>
          <w:sz w:val="18"/>
          <w:szCs w:val="18"/>
        </w:rPr>
        <w:t>Nat’l Assoc. Criminal Def. Lawyers</w:t>
      </w:r>
      <w:r w:rsidRPr="00921EC5">
        <w:rPr>
          <w:rFonts w:ascii="Avenir Book" w:hAnsi="Avenir Book"/>
          <w:color w:val="000000" w:themeColor="text1"/>
          <w:sz w:val="18"/>
          <w:szCs w:val="18"/>
        </w:rPr>
        <w:t xml:space="preserve">, </w:t>
      </w:r>
      <w:r w:rsidRPr="00921EC5">
        <w:rPr>
          <w:rFonts w:ascii="Avenir Book" w:hAnsi="Avenir Book"/>
          <w:iCs/>
          <w:smallCaps/>
          <w:color w:val="000000" w:themeColor="text1"/>
          <w:sz w:val="18"/>
          <w:szCs w:val="18"/>
        </w:rPr>
        <w:t>Public Defense Training Programs</w:t>
      </w:r>
      <w:r w:rsidRPr="00921EC5">
        <w:rPr>
          <w:rFonts w:ascii="Avenir Book" w:hAnsi="Avenir Book"/>
          <w:color w:val="000000" w:themeColor="text1"/>
          <w:sz w:val="18"/>
          <w:szCs w:val="18"/>
        </w:rPr>
        <w:t>, https://www.nacdl.org/Content/PublicDefenseTrainingPrograms (last accessed Dec. 5, 2020).</w:t>
      </w:r>
    </w:p>
  </w:endnote>
  <w:endnote w:id="407">
    <w:p w14:paraId="5737C852" w14:textId="01D482BC"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Brennan, </w:t>
      </w:r>
      <w:r w:rsidRPr="00921EC5">
        <w:rPr>
          <w:rFonts w:ascii="Avenir Book" w:hAnsi="Avenir Book"/>
          <w:i/>
          <w:iCs/>
          <w:color w:val="000000" w:themeColor="text1"/>
          <w:sz w:val="18"/>
          <w:szCs w:val="18"/>
        </w:rPr>
        <w:t>supra</w:t>
      </w:r>
      <w:r w:rsidRPr="00921EC5">
        <w:rPr>
          <w:rFonts w:ascii="Avenir Book" w:hAnsi="Avenir Book"/>
          <w:color w:val="000000" w:themeColor="text1"/>
          <w:sz w:val="18"/>
          <w:szCs w:val="18"/>
        </w:rPr>
        <w:t xml:space="preserve"> note 265, at 247.</w:t>
      </w:r>
    </w:p>
  </w:endnote>
  <w:endnote w:id="408">
    <w:p w14:paraId="120CCEEE"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Including non-attorney staff, such as administrators, paralegals, social workers, investigators and legal interns.</w:t>
      </w:r>
    </w:p>
  </w:endnote>
  <w:endnote w:id="409">
    <w:p w14:paraId="106B2B79" w14:textId="069EA02D"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Steinberg &amp; Feige,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310, at 127.</w:t>
      </w:r>
    </w:p>
  </w:endnote>
  <w:endnote w:id="410">
    <w:p w14:paraId="7A6F7E78" w14:textId="7222E882" w:rsidR="00D267E7" w:rsidRPr="00921EC5" w:rsidRDefault="00D267E7" w:rsidP="00921EC5">
      <w:pPr>
        <w:pStyle w:val="EndnoteText"/>
        <w:jc w:val="both"/>
        <w:rPr>
          <w:rFonts w:ascii="Avenir Book" w:eastAsia="Arial"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Id. </w:t>
      </w:r>
      <w:r w:rsidRPr="00921EC5">
        <w:rPr>
          <w:rFonts w:ascii="Avenir Book" w:hAnsi="Avenir Book"/>
          <w:iCs/>
          <w:color w:val="000000" w:themeColor="text1"/>
          <w:sz w:val="18"/>
          <w:szCs w:val="18"/>
        </w:rPr>
        <w:t xml:space="preserve">at </w:t>
      </w:r>
      <w:r w:rsidRPr="00921EC5">
        <w:rPr>
          <w:rFonts w:ascii="Avenir Book" w:hAnsi="Avenir Book"/>
          <w:color w:val="000000" w:themeColor="text1"/>
          <w:sz w:val="18"/>
          <w:szCs w:val="18"/>
        </w:rPr>
        <w:t>126.</w:t>
      </w:r>
    </w:p>
  </w:endnote>
  <w:endnote w:id="411">
    <w:p w14:paraId="2253C6AB" w14:textId="3FF68613" w:rsidR="00D267E7" w:rsidRPr="00921EC5" w:rsidRDefault="00D267E7" w:rsidP="00921EC5">
      <w:pPr>
        <w:pStyle w:val="EndnoteText"/>
        <w:jc w:val="both"/>
        <w:rPr>
          <w:rFonts w:ascii="Avenir Book" w:eastAsia="Arial"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412">
    <w:p w14:paraId="02F95861" w14:textId="7777777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Montgomery Cty. Office of Pub. Def.</w:t>
      </w:r>
    </w:p>
  </w:endnote>
  <w:endnote w:id="413">
    <w:p w14:paraId="32C034F1" w14:textId="6FC99DC6"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DeSimone,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note 164, at 1486.</w:t>
      </w:r>
    </w:p>
  </w:endnote>
  <w:endnote w:id="414">
    <w:p w14:paraId="12BBC1C5" w14:textId="2F6BE57D"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Wallace &amp; Carroll</w:t>
      </w:r>
      <w:r w:rsidRPr="00921EC5">
        <w:rPr>
          <w:rFonts w:ascii="Avenir Book" w:hAnsi="Avenir Book"/>
          <w:smallCaps/>
          <w:color w:val="000000" w:themeColor="text1"/>
          <w:sz w:val="18"/>
          <w:szCs w:val="18"/>
        </w:rPr>
        <w:t xml:space="preserv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_Ref62813967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97</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8.</w:t>
      </w:r>
    </w:p>
  </w:endnote>
  <w:endnote w:id="415">
    <w:p w14:paraId="4805603B" w14:textId="1E266095"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416">
    <w:p w14:paraId="1149A415" w14:textId="19405B85"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417">
    <w:p w14:paraId="51287BA4" w14:textId="5AC9F8E7"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Id.</w:t>
      </w:r>
    </w:p>
  </w:endnote>
  <w:endnote w:id="418">
    <w:p w14:paraId="191C1D65" w14:textId="5EBF1455"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smallCaps/>
          <w:color w:val="000000" w:themeColor="text1"/>
          <w:sz w:val="18"/>
          <w:szCs w:val="18"/>
        </w:rPr>
        <w:t>Nat’l Ass’n of Pub. Defs</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Policy Statement on Independence</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supra </w:t>
      </w:r>
      <w:r w:rsidRPr="00921EC5">
        <w:rPr>
          <w:rFonts w:ascii="Avenir Book" w:hAnsi="Avenir Book"/>
          <w:color w:val="000000" w:themeColor="text1"/>
          <w:sz w:val="18"/>
          <w:szCs w:val="18"/>
        </w:rPr>
        <w:t xml:space="preserve">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_Ref62729886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15</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xml:space="preserve"> (describing how adopting nationally recognized standards can be useful guides in implementing public defense).</w:t>
      </w:r>
    </w:p>
  </w:endnote>
  <w:endnote w:id="419">
    <w:p w14:paraId="3E4D80B4" w14:textId="50A805B1"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color w:val="000000" w:themeColor="text1"/>
          <w:sz w:val="18"/>
          <w:szCs w:val="18"/>
        </w:rPr>
        <w:t>16</w:t>
      </w:r>
      <w:r w:rsidRPr="00921EC5">
        <w:rPr>
          <w:rFonts w:ascii="Avenir Book" w:hAnsi="Avenir Book"/>
          <w:smallCaps/>
          <w:color w:val="000000" w:themeColor="text1"/>
          <w:sz w:val="18"/>
          <w:szCs w:val="18"/>
        </w:rPr>
        <w:t xml:space="preserve"> Pa. Stat. and Cons. Stat. Ann.</w:t>
      </w:r>
      <w:r w:rsidRPr="00921EC5">
        <w:rPr>
          <w:rFonts w:ascii="Avenir Book" w:hAnsi="Avenir Book"/>
          <w:color w:val="000000" w:themeColor="text1"/>
          <w:sz w:val="18"/>
          <w:szCs w:val="18"/>
        </w:rPr>
        <w:t xml:space="preserve"> § 9960.</w:t>
      </w:r>
    </w:p>
  </w:endnote>
  <w:endnote w:id="420">
    <w:p w14:paraId="3E4F4F2F" w14:textId="71B93D5D"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See Id.</w:t>
      </w:r>
    </w:p>
  </w:endnote>
  <w:endnote w:id="421">
    <w:p w14:paraId="039D9718" w14:textId="19117DA8"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color w:val="000000" w:themeColor="text1"/>
          <w:sz w:val="18"/>
          <w:szCs w:val="18"/>
          <w:u w:val="single"/>
        </w:rPr>
        <w:t>Gideon</w:t>
      </w:r>
      <w:r w:rsidRPr="00921EC5">
        <w:rPr>
          <w:rFonts w:ascii="Avenir Book" w:hAnsi="Avenir Book"/>
          <w:color w:val="000000" w:themeColor="text1"/>
          <w:sz w:val="18"/>
          <w:szCs w:val="18"/>
        </w:rPr>
        <w:t>, 372 U.S. 335.</w:t>
      </w:r>
    </w:p>
  </w:endnote>
  <w:endnote w:id="422">
    <w:p w14:paraId="4FBA1F1A" w14:textId="59F6D894"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See</w:t>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Nat’l Ass’n of Pub. Defs</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w:t>
      </w:r>
      <w:r w:rsidRPr="00921EC5">
        <w:rPr>
          <w:rFonts w:ascii="Avenir Book" w:hAnsi="Avenir Book"/>
          <w:smallCaps/>
          <w:color w:val="000000" w:themeColor="text1"/>
          <w:sz w:val="18"/>
          <w:szCs w:val="18"/>
        </w:rPr>
        <w:t xml:space="preserve"> </w:t>
      </w:r>
      <w:r w:rsidRPr="00921EC5">
        <w:rPr>
          <w:rFonts w:ascii="Avenir Book" w:hAnsi="Avenir Book"/>
          <w:smallCaps/>
          <w:color w:val="000000" w:themeColor="text1"/>
          <w:sz w:val="18"/>
          <w:szCs w:val="18"/>
        </w:rPr>
        <w:fldChar w:fldCharType="begin"/>
      </w:r>
      <w:r w:rsidRPr="00921EC5">
        <w:rPr>
          <w:rFonts w:ascii="Avenir Book" w:hAnsi="Avenir Book"/>
          <w:smallCaps/>
          <w:color w:val="000000" w:themeColor="text1"/>
          <w:sz w:val="18"/>
          <w:szCs w:val="18"/>
        </w:rPr>
        <w:instrText xml:space="preserve"> NOTEREF _Ref62826501 \h  \* MERGEFORMAT </w:instrText>
      </w:r>
      <w:r w:rsidRPr="00921EC5">
        <w:rPr>
          <w:rFonts w:ascii="Avenir Book" w:hAnsi="Avenir Book"/>
          <w:smallCaps/>
          <w:color w:val="000000" w:themeColor="text1"/>
          <w:sz w:val="18"/>
          <w:szCs w:val="18"/>
        </w:rPr>
      </w:r>
      <w:r w:rsidRPr="00921EC5">
        <w:rPr>
          <w:rFonts w:ascii="Avenir Book" w:hAnsi="Avenir Book"/>
          <w:smallCaps/>
          <w:color w:val="000000" w:themeColor="text1"/>
          <w:sz w:val="18"/>
          <w:szCs w:val="18"/>
        </w:rPr>
        <w:fldChar w:fldCharType="separate"/>
      </w:r>
      <w:r w:rsidRPr="00921EC5">
        <w:rPr>
          <w:rFonts w:ascii="Avenir Book" w:hAnsi="Avenir Book"/>
          <w:smallCaps/>
          <w:color w:val="000000" w:themeColor="text1"/>
          <w:sz w:val="18"/>
          <w:szCs w:val="18"/>
        </w:rPr>
        <w:t>24</w:t>
      </w:r>
      <w:r w:rsidRPr="00921EC5">
        <w:rPr>
          <w:rFonts w:ascii="Avenir Book" w:hAnsi="Avenir Book"/>
          <w:smallCaps/>
          <w:color w:val="000000" w:themeColor="text1"/>
          <w:sz w:val="18"/>
          <w:szCs w:val="18"/>
        </w:rPr>
        <w:fldChar w:fldCharType="end"/>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ABA Standing Committee on Legal Aid and Indigent Defendants,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_Ref62729658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21</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2.</w:t>
      </w:r>
    </w:p>
  </w:endnote>
  <w:endnote w:id="423">
    <w:p w14:paraId="324808CE" w14:textId="469AE5ED"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 xml:space="preserve">See </w:t>
      </w:r>
      <w:r w:rsidRPr="00921EC5">
        <w:rPr>
          <w:rFonts w:ascii="Avenir Book" w:hAnsi="Avenir Book"/>
          <w:smallCaps/>
          <w:color w:val="000000" w:themeColor="text1"/>
          <w:sz w:val="18"/>
          <w:szCs w:val="18"/>
        </w:rPr>
        <w:t xml:space="preserve">ABA Standing Committee on Legal Aid and Indigent Defendants,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_Ref62729658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21</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xml:space="preserve"> (“The responsibility to provide public defense rests with the state...there should be state funding and a statewide structure responsible for ensuring uniform quality statewide.”).</w:t>
      </w:r>
    </w:p>
  </w:endnote>
  <w:endnote w:id="424">
    <w:p w14:paraId="108690F1" w14:textId="3E5B5F0A"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Nat’l Ass’n of Pub. Defs</w:t>
      </w:r>
      <w:r w:rsidRPr="00921EC5">
        <w:rPr>
          <w:rFonts w:ascii="Avenir Book" w:hAnsi="Avenir Book"/>
          <w:color w:val="000000" w:themeColor="text1"/>
          <w:sz w:val="18"/>
          <w:szCs w:val="18"/>
        </w:rPr>
        <w:t xml:space="preserve">.,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w:t>
      </w:r>
      <w:r w:rsidRPr="00921EC5">
        <w:rPr>
          <w:rFonts w:ascii="Avenir Book" w:hAnsi="Avenir Book"/>
          <w:smallCaps/>
          <w:color w:val="000000" w:themeColor="text1"/>
          <w:sz w:val="18"/>
          <w:szCs w:val="18"/>
        </w:rPr>
        <w:t xml:space="preserve"> </w:t>
      </w:r>
      <w:r w:rsidRPr="00921EC5">
        <w:rPr>
          <w:rFonts w:ascii="Avenir Book" w:hAnsi="Avenir Book"/>
          <w:smallCaps/>
          <w:color w:val="000000" w:themeColor="text1"/>
          <w:sz w:val="18"/>
          <w:szCs w:val="18"/>
        </w:rPr>
        <w:fldChar w:fldCharType="begin"/>
      </w:r>
      <w:r w:rsidRPr="00921EC5">
        <w:rPr>
          <w:rFonts w:ascii="Avenir Book" w:hAnsi="Avenir Book"/>
          <w:smallCaps/>
          <w:color w:val="000000" w:themeColor="text1"/>
          <w:sz w:val="18"/>
          <w:szCs w:val="18"/>
        </w:rPr>
        <w:instrText xml:space="preserve"> NOTEREF _Ref62826501 \h  \* MERGEFORMAT </w:instrText>
      </w:r>
      <w:r w:rsidRPr="00921EC5">
        <w:rPr>
          <w:rFonts w:ascii="Avenir Book" w:hAnsi="Avenir Book"/>
          <w:smallCaps/>
          <w:color w:val="000000" w:themeColor="text1"/>
          <w:sz w:val="18"/>
          <w:szCs w:val="18"/>
        </w:rPr>
      </w:r>
      <w:r w:rsidRPr="00921EC5">
        <w:rPr>
          <w:rFonts w:ascii="Avenir Book" w:hAnsi="Avenir Book"/>
          <w:smallCaps/>
          <w:color w:val="000000" w:themeColor="text1"/>
          <w:sz w:val="18"/>
          <w:szCs w:val="18"/>
        </w:rPr>
        <w:fldChar w:fldCharType="separate"/>
      </w:r>
      <w:r w:rsidRPr="00921EC5">
        <w:rPr>
          <w:rFonts w:ascii="Avenir Book" w:hAnsi="Avenir Book"/>
          <w:smallCaps/>
          <w:color w:val="000000" w:themeColor="text1"/>
          <w:sz w:val="18"/>
          <w:szCs w:val="18"/>
        </w:rPr>
        <w:t>24</w:t>
      </w:r>
      <w:r w:rsidRPr="00921EC5">
        <w:rPr>
          <w:rFonts w:ascii="Avenir Book" w:hAnsi="Avenir Book"/>
          <w:smallCaps/>
          <w:color w:val="000000" w:themeColor="text1"/>
          <w:sz w:val="18"/>
          <w:szCs w:val="18"/>
        </w:rPr>
        <w:fldChar w:fldCharType="end"/>
      </w:r>
      <w:r w:rsidRPr="00921EC5">
        <w:rPr>
          <w:rFonts w:ascii="Avenir Book" w:hAnsi="Avenir Book"/>
          <w:color w:val="000000" w:themeColor="text1"/>
          <w:sz w:val="18"/>
          <w:szCs w:val="18"/>
        </w:rPr>
        <w:t>.</w:t>
      </w:r>
    </w:p>
  </w:endnote>
  <w:endnote w:id="425">
    <w:p w14:paraId="157339AE" w14:textId="3507399A" w:rsidR="00D267E7" w:rsidRPr="00921EC5" w:rsidRDefault="00D267E7" w:rsidP="00921EC5">
      <w:pPr>
        <w:pStyle w:val="EndnoteText"/>
        <w:jc w:val="both"/>
        <w:rPr>
          <w:rFonts w:ascii="Avenir Book" w:hAnsi="Avenir Book"/>
          <w:color w:val="000000" w:themeColor="text1"/>
          <w:sz w:val="18"/>
          <w:szCs w:val="18"/>
        </w:rPr>
      </w:pPr>
      <w:r w:rsidRPr="00921EC5">
        <w:rPr>
          <w:rStyle w:val="EndnoteReference"/>
          <w:rFonts w:ascii="Avenir Book" w:hAnsi="Avenir Book"/>
          <w:color w:val="000000" w:themeColor="text1"/>
          <w:sz w:val="18"/>
          <w:szCs w:val="18"/>
        </w:rPr>
        <w:endnoteRef/>
      </w:r>
      <w:r w:rsidRPr="00921EC5">
        <w:rPr>
          <w:rFonts w:ascii="Avenir Book" w:hAnsi="Avenir Book"/>
          <w:color w:val="000000" w:themeColor="text1"/>
          <w:sz w:val="18"/>
          <w:szCs w:val="18"/>
        </w:rPr>
        <w:t xml:space="preserve"> </w:t>
      </w:r>
      <w:r w:rsidRPr="00921EC5">
        <w:rPr>
          <w:rFonts w:ascii="Avenir Book" w:hAnsi="Avenir Book"/>
          <w:smallCaps/>
          <w:color w:val="000000" w:themeColor="text1"/>
          <w:sz w:val="18"/>
          <w:szCs w:val="18"/>
        </w:rPr>
        <w:t xml:space="preserve">Advisory Comm. on Servs. to Indigent Criminal Defendants, </w:t>
      </w:r>
      <w:r w:rsidRPr="00921EC5">
        <w:rPr>
          <w:rFonts w:ascii="Avenir Book" w:hAnsi="Avenir Book"/>
          <w:i/>
          <w:color w:val="000000" w:themeColor="text1"/>
          <w:sz w:val="18"/>
          <w:szCs w:val="18"/>
        </w:rPr>
        <w:t>supra</w:t>
      </w:r>
      <w:r w:rsidRPr="00921EC5">
        <w:rPr>
          <w:rFonts w:ascii="Avenir Book" w:hAnsi="Avenir Book"/>
          <w:color w:val="000000" w:themeColor="text1"/>
          <w:sz w:val="18"/>
          <w:szCs w:val="18"/>
        </w:rPr>
        <w:t xml:space="preserve"> note </w:t>
      </w:r>
      <w:r w:rsidRPr="00921EC5">
        <w:rPr>
          <w:rFonts w:ascii="Avenir Book" w:hAnsi="Avenir Book"/>
          <w:color w:val="000000" w:themeColor="text1"/>
          <w:sz w:val="18"/>
          <w:szCs w:val="18"/>
        </w:rPr>
        <w:fldChar w:fldCharType="begin"/>
      </w:r>
      <w:r w:rsidRPr="00921EC5">
        <w:rPr>
          <w:rFonts w:ascii="Avenir Book" w:hAnsi="Avenir Book"/>
          <w:color w:val="000000" w:themeColor="text1"/>
          <w:sz w:val="18"/>
          <w:szCs w:val="18"/>
        </w:rPr>
        <w:instrText xml:space="preserve"> NOTEREF _Ref62734686 \h  \* MERGEFORMAT </w:instrText>
      </w:r>
      <w:r w:rsidRPr="00921EC5">
        <w:rPr>
          <w:rFonts w:ascii="Avenir Book" w:hAnsi="Avenir Book"/>
          <w:color w:val="000000" w:themeColor="text1"/>
          <w:sz w:val="18"/>
          <w:szCs w:val="18"/>
        </w:rPr>
      </w:r>
      <w:r w:rsidRPr="00921EC5">
        <w:rPr>
          <w:rFonts w:ascii="Avenir Book" w:hAnsi="Avenir Book"/>
          <w:color w:val="000000" w:themeColor="text1"/>
          <w:sz w:val="18"/>
          <w:szCs w:val="18"/>
        </w:rPr>
        <w:fldChar w:fldCharType="separate"/>
      </w:r>
      <w:r w:rsidRPr="00921EC5">
        <w:rPr>
          <w:rFonts w:ascii="Avenir Book" w:hAnsi="Avenir Book"/>
          <w:color w:val="000000" w:themeColor="text1"/>
          <w:sz w:val="18"/>
          <w:szCs w:val="18"/>
        </w:rPr>
        <w:t>12</w:t>
      </w:r>
      <w:r w:rsidRPr="00921EC5">
        <w:rPr>
          <w:rFonts w:ascii="Avenir Book" w:hAnsi="Avenir Book"/>
          <w:color w:val="000000" w:themeColor="text1"/>
          <w:sz w:val="18"/>
          <w:szCs w:val="18"/>
        </w:rPr>
        <w:fldChar w:fldCharType="end"/>
      </w:r>
      <w:r w:rsidRPr="00921EC5">
        <w:rPr>
          <w:rFonts w:ascii="Avenir Book" w:hAnsi="Avenir Book"/>
          <w:color w:val="000000" w:themeColor="text1"/>
          <w:sz w:val="18"/>
          <w:szCs w:val="18"/>
        </w:rPr>
        <w:t>, at 13.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Black Oblique">
    <w:panose1 w:val="020B0803020203090204"/>
    <w:charset w:val="4D"/>
    <w:family w:val="swiss"/>
    <w:pitch w:val="variable"/>
    <w:sig w:usb0="800000AF" w:usb1="5000204A" w:usb2="00000000" w:usb3="00000000" w:csb0="0000009B"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venir Black">
    <w:panose1 w:val="020B0803020203020204"/>
    <w:charset w:val="4D"/>
    <w:family w:val="swiss"/>
    <w:pitch w:val="variable"/>
    <w:sig w:usb0="800000AF" w:usb1="5000204A" w:usb2="00000000" w:usb3="00000000" w:csb0="0000009B" w:csb1="00000000"/>
  </w:font>
  <w:font w:name="Segoe UI">
    <w:altName w:val="Sylfaen"/>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Oswald Regular">
    <w:altName w:val="Arial Narrow"/>
    <w:panose1 w:val="020B0604020202020204"/>
    <w:charset w:val="4D"/>
    <w:family w:val="auto"/>
    <w:pitch w:val="variable"/>
    <w:sig w:usb0="A00002EF" w:usb1="4000204B" w:usb2="00000000" w:usb3="00000000" w:csb0="00000097" w:csb1="00000000"/>
  </w:font>
  <w:font w:name="Avenir Book">
    <w:panose1 w:val="02000503020000020003"/>
    <w:charset w:val="00"/>
    <w:family w:val="auto"/>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Milliard Book">
    <w:altName w:val="Calibri"/>
    <w:panose1 w:val="020B0604020202020204"/>
    <w:charset w:val="00"/>
    <w:family w:val="auto"/>
    <w:notTrueType/>
    <w:pitch w:val="variable"/>
    <w:sig w:usb0="00000007" w:usb1="00000023" w:usb2="00000000" w:usb3="00000000" w:csb0="00000093" w:csb1="00000000"/>
  </w:font>
  <w:font w:name="Avenir Heavy Oblique">
    <w:panose1 w:val="020B070302020309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Avenir Book Oblique">
    <w:panose1 w:val="02000503020000020003"/>
    <w:charset w:val="00"/>
    <w:family w:val="auto"/>
    <w:pitch w:val="variable"/>
    <w:sig w:usb0="800000AF" w:usb1="5000204A" w:usb2="00000000" w:usb3="00000000" w:csb0="0000009B" w:csb1="00000000"/>
  </w:font>
  <w:font w:name="Trajan-Regular">
    <w:altName w:val="Cambria"/>
    <w:panose1 w:val="020B0604020202020204"/>
    <w:charset w:val="4D"/>
    <w:family w:val="roman"/>
    <w:notTrueType/>
    <w:pitch w:val="default"/>
    <w:sig w:usb0="00000003" w:usb1="00000000" w:usb2="00000000" w:usb3="00000000" w:csb0="00000001" w:csb1="00000000"/>
  </w:font>
  <w:font w:name="Semibold">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8DA73" w14:textId="77777777" w:rsidR="00D267E7" w:rsidRDefault="00D267E7">
    <w:pPr>
      <w:pBdr>
        <w:top w:val="nil"/>
        <w:left w:val="nil"/>
        <w:bottom w:val="nil"/>
        <w:right w:val="nil"/>
        <w:between w:val="nil"/>
      </w:pBdr>
      <w:tabs>
        <w:tab w:val="center" w:pos="4680"/>
        <w:tab w:val="right" w:pos="9360"/>
      </w:tabs>
      <w:jc w:val="center"/>
      <w:rPr>
        <w:color w:val="000000"/>
      </w:rPr>
    </w:pPr>
  </w:p>
  <w:p w14:paraId="38F13D80" w14:textId="77777777" w:rsidR="00D267E7" w:rsidRDefault="00D267E7">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19D13B88" w14:textId="77777777" w:rsidR="00D267E7" w:rsidRDefault="00D267E7">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0AE596B1" w14:textId="77777777" w:rsidR="00D267E7" w:rsidRDefault="00D267E7">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EC5E0" w14:textId="77777777" w:rsidR="00D267E7" w:rsidRDefault="00D267E7">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6F02A" w14:textId="77777777" w:rsidR="00D267E7" w:rsidRDefault="00D267E7">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34438" w14:textId="77777777" w:rsidR="00D267E7" w:rsidRDefault="00D267E7">
    <w:pPr>
      <w:pBdr>
        <w:top w:val="nil"/>
        <w:left w:val="nil"/>
        <w:bottom w:val="nil"/>
        <w:right w:val="nil"/>
        <w:between w:val="nil"/>
      </w:pBdr>
      <w:tabs>
        <w:tab w:val="center" w:pos="4680"/>
        <w:tab w:val="right" w:pos="9360"/>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49F20" w14:textId="77777777" w:rsidR="00D267E7" w:rsidRDefault="00D267E7">
    <w:pPr>
      <w:pBdr>
        <w:top w:val="nil"/>
        <w:left w:val="nil"/>
        <w:bottom w:val="nil"/>
        <w:right w:val="nil"/>
        <w:between w:val="nil"/>
      </w:pBdr>
      <w:tabs>
        <w:tab w:val="center" w:pos="4680"/>
        <w:tab w:val="right" w:pos="9360"/>
      </w:tabs>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B9308" w14:textId="77777777" w:rsidR="00D267E7" w:rsidRPr="00DD1030" w:rsidRDefault="00D267E7">
    <w:pPr>
      <w:pBdr>
        <w:top w:val="nil"/>
        <w:left w:val="nil"/>
        <w:bottom w:val="nil"/>
        <w:right w:val="nil"/>
        <w:between w:val="nil"/>
      </w:pBdr>
      <w:tabs>
        <w:tab w:val="center" w:pos="4680"/>
        <w:tab w:val="right" w:pos="9360"/>
      </w:tabs>
      <w:jc w:val="center"/>
      <w:rPr>
        <w:rFonts w:ascii="Milliard Book" w:hAnsi="Milliard Book"/>
        <w:b/>
        <w:bCs/>
        <w:color w:val="91211B"/>
      </w:rPr>
    </w:pPr>
    <w:r w:rsidRPr="00DD1030">
      <w:rPr>
        <w:rFonts w:ascii="Milliard Book" w:hAnsi="Milliard Book"/>
        <w:b/>
        <w:bCs/>
        <w:color w:val="91211B"/>
      </w:rPr>
      <w:fldChar w:fldCharType="begin"/>
    </w:r>
    <w:r w:rsidRPr="00DD1030">
      <w:rPr>
        <w:rFonts w:ascii="Milliard Book" w:hAnsi="Milliard Book"/>
        <w:b/>
        <w:bCs/>
        <w:color w:val="91211B"/>
      </w:rPr>
      <w:instrText>PAGE</w:instrText>
    </w:r>
    <w:r w:rsidRPr="00DD1030">
      <w:rPr>
        <w:rFonts w:ascii="Milliard Book" w:hAnsi="Milliard Book"/>
        <w:b/>
        <w:bCs/>
        <w:color w:val="91211B"/>
      </w:rPr>
      <w:fldChar w:fldCharType="separate"/>
    </w:r>
    <w:r w:rsidRPr="00DD1030">
      <w:rPr>
        <w:rFonts w:ascii="Milliard Book" w:hAnsi="Milliard Book"/>
        <w:b/>
        <w:bCs/>
        <w:noProof/>
        <w:color w:val="91211B"/>
      </w:rPr>
      <w:t>10</w:t>
    </w:r>
    <w:r w:rsidRPr="00DD1030">
      <w:rPr>
        <w:rFonts w:ascii="Milliard Book" w:hAnsi="Milliard Book"/>
        <w:b/>
        <w:bCs/>
        <w:color w:val="91211B"/>
      </w:rPr>
      <w:fldChar w:fldCharType="end"/>
    </w:r>
  </w:p>
  <w:p w14:paraId="26746D61" w14:textId="75F3B172" w:rsidR="00D267E7" w:rsidRPr="0023745D" w:rsidRDefault="0023745D">
    <w:pPr>
      <w:pBdr>
        <w:top w:val="nil"/>
        <w:left w:val="nil"/>
        <w:bottom w:val="nil"/>
        <w:right w:val="nil"/>
        <w:between w:val="nil"/>
      </w:pBdr>
      <w:tabs>
        <w:tab w:val="center" w:pos="4680"/>
        <w:tab w:val="right" w:pos="9360"/>
      </w:tabs>
      <w:rPr>
        <w:smallCaps/>
        <w:color w:val="000000"/>
        <w:sz w:val="18"/>
      </w:rPr>
    </w:pPr>
    <w:r w:rsidRPr="0023745D">
      <w:rPr>
        <w:smallCaps/>
        <w:color w:val="000000"/>
        <w:sz w:val="18"/>
      </w:rPr>
      <w:t>Preliminary Report – Subject to Change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6A633" w14:textId="77777777" w:rsidR="00D267E7" w:rsidRPr="00E45DCB" w:rsidRDefault="00D267E7">
    <w:pPr>
      <w:pBdr>
        <w:top w:val="nil"/>
        <w:left w:val="nil"/>
        <w:bottom w:val="nil"/>
        <w:right w:val="nil"/>
        <w:between w:val="nil"/>
      </w:pBdr>
      <w:tabs>
        <w:tab w:val="center" w:pos="4680"/>
        <w:tab w:val="right" w:pos="9360"/>
      </w:tabs>
      <w:jc w:val="center"/>
      <w:rPr>
        <w:rFonts w:ascii="Avenir Black Oblique" w:hAnsi="Avenir Black Oblique"/>
        <w:b/>
        <w:bCs/>
        <w:i/>
        <w:iCs/>
        <w:color w:val="000000"/>
        <w:sz w:val="18"/>
        <w:szCs w:val="18"/>
      </w:rPr>
    </w:pPr>
    <w:r w:rsidRPr="00E45DCB">
      <w:rPr>
        <w:rFonts w:ascii="Avenir Black Oblique" w:hAnsi="Avenir Black Oblique"/>
        <w:b/>
        <w:bCs/>
        <w:i/>
        <w:iCs/>
        <w:color w:val="000000"/>
        <w:sz w:val="18"/>
        <w:szCs w:val="18"/>
      </w:rPr>
      <w:fldChar w:fldCharType="begin"/>
    </w:r>
    <w:r w:rsidRPr="00E45DCB">
      <w:rPr>
        <w:rFonts w:ascii="Avenir Black Oblique" w:hAnsi="Avenir Black Oblique"/>
        <w:b/>
        <w:bCs/>
        <w:i/>
        <w:iCs/>
        <w:color w:val="000000"/>
        <w:sz w:val="18"/>
        <w:szCs w:val="18"/>
      </w:rPr>
      <w:instrText>PAGE</w:instrText>
    </w:r>
    <w:r w:rsidRPr="00E45DCB">
      <w:rPr>
        <w:rFonts w:ascii="Avenir Black Oblique" w:hAnsi="Avenir Black Oblique"/>
        <w:b/>
        <w:bCs/>
        <w:i/>
        <w:iCs/>
        <w:color w:val="000000"/>
        <w:sz w:val="18"/>
        <w:szCs w:val="18"/>
      </w:rPr>
      <w:fldChar w:fldCharType="separate"/>
    </w:r>
    <w:r w:rsidRPr="00E45DCB">
      <w:rPr>
        <w:rFonts w:ascii="Avenir Black Oblique" w:hAnsi="Avenir Black Oblique"/>
        <w:b/>
        <w:bCs/>
        <w:i/>
        <w:iCs/>
        <w:noProof/>
        <w:color w:val="000000"/>
        <w:sz w:val="18"/>
        <w:szCs w:val="18"/>
      </w:rPr>
      <w:t>1</w:t>
    </w:r>
    <w:r w:rsidRPr="00E45DCB">
      <w:rPr>
        <w:rFonts w:ascii="Avenir Black Oblique" w:hAnsi="Avenir Black Oblique"/>
        <w:b/>
        <w:bCs/>
        <w:i/>
        <w:iCs/>
        <w:color w:val="000000"/>
        <w:sz w:val="18"/>
        <w:szCs w:val="18"/>
      </w:rPr>
      <w:fldChar w:fldCharType="end"/>
    </w:r>
  </w:p>
  <w:p w14:paraId="7BA2C804" w14:textId="77777777" w:rsidR="00D267E7" w:rsidRDefault="00D267E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CA4C81" w14:textId="77777777" w:rsidR="000E2E79" w:rsidRDefault="000E2E79">
      <w:r>
        <w:separator/>
      </w:r>
    </w:p>
  </w:footnote>
  <w:footnote w:type="continuationSeparator" w:id="0">
    <w:p w14:paraId="2E5CBE15" w14:textId="77777777" w:rsidR="000E2E79" w:rsidRDefault="000E2E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811D2" w14:textId="77777777" w:rsidR="00D267E7" w:rsidRDefault="00D267E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735B2" w14:textId="77777777" w:rsidR="00D267E7" w:rsidRDefault="00D267E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C665C" w14:textId="77777777" w:rsidR="00D267E7" w:rsidRDefault="00D267E7">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7773D" w14:textId="77777777" w:rsidR="00D267E7" w:rsidRDefault="00D267E7">
    <w:pPr>
      <w:pBdr>
        <w:top w:val="nil"/>
        <w:left w:val="nil"/>
        <w:bottom w:val="nil"/>
        <w:right w:val="nil"/>
        <w:between w:val="nil"/>
      </w:pBdr>
      <w:tabs>
        <w:tab w:val="center" w:pos="4680"/>
        <w:tab w:val="right" w:pos="936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12457" w14:textId="77777777" w:rsidR="00D267E7" w:rsidRDefault="00D267E7">
    <w:pPr>
      <w:jc w:val="center"/>
      <w:rPr>
        <w:b/>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B22CF" w14:textId="77777777" w:rsidR="00D267E7" w:rsidRDefault="00D267E7">
    <w:pPr>
      <w:jc w:val="center"/>
      <w:rPr>
        <w:b/>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D1609" w14:textId="77777777" w:rsidR="00D267E7" w:rsidRDefault="00D267E7">
    <w:pPr>
      <w:jc w:val="center"/>
      <w:rPr>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91985"/>
    <w:multiLevelType w:val="multilevel"/>
    <w:tmpl w:val="4EDA8A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873991"/>
    <w:multiLevelType w:val="multilevel"/>
    <w:tmpl w:val="6E22AE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B617CBC"/>
    <w:multiLevelType w:val="multilevel"/>
    <w:tmpl w:val="60423052"/>
    <w:lvl w:ilvl="0">
      <w:start w:val="8"/>
      <w:numFmt w:val="decimal"/>
      <w:lvlText w:val="%1."/>
      <w:lvlJc w:val="left"/>
      <w:pPr>
        <w:ind w:left="144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DC569F"/>
    <w:multiLevelType w:val="multilevel"/>
    <w:tmpl w:val="CF50E5DE"/>
    <w:lvl w:ilvl="0">
      <w:start w:val="1"/>
      <w:numFmt w:val="decimal"/>
      <w:lvlText w:val="%1."/>
      <w:lvlJc w:val="left"/>
      <w:pPr>
        <w:ind w:left="108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3"/>
      <w:numFmt w:val="decimal"/>
      <w:lvlText w:val="%4."/>
      <w:lvlJc w:val="left"/>
      <w:pPr>
        <w:ind w:left="3240" w:hanging="72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8631DD9"/>
    <w:multiLevelType w:val="multilevel"/>
    <w:tmpl w:val="8ED856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2CD1F8E"/>
    <w:multiLevelType w:val="hybridMultilevel"/>
    <w:tmpl w:val="BD0ACB80"/>
    <w:lvl w:ilvl="0" w:tplc="3F088A14">
      <w:start w:val="1"/>
      <w:numFmt w:val="bullet"/>
      <w:lvlText w:val="-"/>
      <w:lvlJc w:val="left"/>
      <w:pPr>
        <w:ind w:left="720" w:hanging="360"/>
      </w:pPr>
      <w:rPr>
        <w:rFonts w:ascii="Avenir Black Oblique" w:eastAsia="Times New Roman" w:hAnsi="Avenir Black Obliqu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F34B88"/>
    <w:multiLevelType w:val="multilevel"/>
    <w:tmpl w:val="5790A986"/>
    <w:lvl w:ilvl="0">
      <w:start w:val="1"/>
      <w:numFmt w:val="decimal"/>
      <w:lvlText w:val="%1."/>
      <w:lvlJc w:val="left"/>
      <w:pPr>
        <w:ind w:left="1080" w:hanging="360"/>
      </w:pPr>
      <w:rPr>
        <w:rFonts w:ascii="Avenir Black" w:hAnsi="Avenir Black" w:hint="default"/>
        <w:b/>
        <w:bCs/>
        <w:i w:val="0"/>
        <w:iCs w:val="0"/>
        <w:color w:val="91211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35454707"/>
    <w:multiLevelType w:val="hybridMultilevel"/>
    <w:tmpl w:val="EF2C25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EE31B6"/>
    <w:multiLevelType w:val="multilevel"/>
    <w:tmpl w:val="51EAFA9E"/>
    <w:lvl w:ilvl="0">
      <w:start w:val="5"/>
      <w:numFmt w:val="decimal"/>
      <w:lvlText w:val="%1."/>
      <w:lvlJc w:val="left"/>
      <w:pPr>
        <w:ind w:left="144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14C3A09"/>
    <w:multiLevelType w:val="hybridMultilevel"/>
    <w:tmpl w:val="B854FE90"/>
    <w:lvl w:ilvl="0" w:tplc="56F43092">
      <w:start w:val="2"/>
      <w:numFmt w:val="bullet"/>
      <w:lvlText w:val="-"/>
      <w:lvlJc w:val="left"/>
      <w:pPr>
        <w:ind w:left="720" w:hanging="360"/>
      </w:pPr>
      <w:rPr>
        <w:rFonts w:ascii="Avenir Black" w:eastAsia="Times New Roman" w:hAnsi="Avenir Black"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314B92"/>
    <w:multiLevelType w:val="hybridMultilevel"/>
    <w:tmpl w:val="FA5C4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A14042"/>
    <w:multiLevelType w:val="hybridMultilevel"/>
    <w:tmpl w:val="55982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E2495B"/>
    <w:multiLevelType w:val="multilevel"/>
    <w:tmpl w:val="602AB062"/>
    <w:lvl w:ilvl="0">
      <w:start w:val="1"/>
      <w:numFmt w:val="bullet"/>
      <w:lvlText w:val=""/>
      <w:lvlJc w:val="left"/>
      <w:pPr>
        <w:ind w:left="360" w:hanging="360"/>
      </w:pPr>
      <w:rPr>
        <w:rFonts w:ascii="Symbol" w:hAnsi="Symbol" w:hint="default"/>
        <w:b/>
        <w:bCs/>
        <w:color w:val="91211B"/>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2494BC9"/>
    <w:multiLevelType w:val="hybridMultilevel"/>
    <w:tmpl w:val="08366074"/>
    <w:lvl w:ilvl="0" w:tplc="F6B0593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264B24"/>
    <w:multiLevelType w:val="multilevel"/>
    <w:tmpl w:val="2BFEFB70"/>
    <w:lvl w:ilvl="0">
      <w:start w:val="9"/>
      <w:numFmt w:val="decimal"/>
      <w:lvlText w:val="%1."/>
      <w:lvlJc w:val="left"/>
      <w:pPr>
        <w:ind w:left="144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88B6139"/>
    <w:multiLevelType w:val="multilevel"/>
    <w:tmpl w:val="AA2E200C"/>
    <w:lvl w:ilvl="0">
      <w:start w:val="1"/>
      <w:numFmt w:val="bullet"/>
      <w:lvlText w:val=""/>
      <w:lvlJc w:val="left"/>
      <w:pPr>
        <w:ind w:left="360" w:hanging="360"/>
      </w:pPr>
      <w:rPr>
        <w:rFonts w:ascii="Symbol" w:hAnsi="Symbol" w:hint="default"/>
        <w:b/>
        <w:bCs/>
        <w:color w:val="91211B"/>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A970312"/>
    <w:multiLevelType w:val="hybridMultilevel"/>
    <w:tmpl w:val="0D5AA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F94E39"/>
    <w:multiLevelType w:val="multilevel"/>
    <w:tmpl w:val="B0B0F94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78D95FCA"/>
    <w:multiLevelType w:val="multilevel"/>
    <w:tmpl w:val="51EAFA9E"/>
    <w:lvl w:ilvl="0">
      <w:start w:val="5"/>
      <w:numFmt w:val="decimal"/>
      <w:lvlText w:val="%1."/>
      <w:lvlJc w:val="left"/>
      <w:pPr>
        <w:ind w:left="144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962781F"/>
    <w:multiLevelType w:val="multilevel"/>
    <w:tmpl w:val="049C0F40"/>
    <w:lvl w:ilvl="0">
      <w:start w:val="1"/>
      <w:numFmt w:val="bullet"/>
      <w:lvlText w:val=""/>
      <w:lvlJc w:val="left"/>
      <w:pPr>
        <w:ind w:left="360" w:hanging="360"/>
      </w:pPr>
      <w:rPr>
        <w:rFonts w:ascii="Symbol" w:hAnsi="Symbol" w:hint="default"/>
        <w:b/>
        <w:bCs/>
        <w:color w:val="91211B"/>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7E7D494F"/>
    <w:multiLevelType w:val="multilevel"/>
    <w:tmpl w:val="F73E8CB6"/>
    <w:lvl w:ilvl="0">
      <w:start w:val="1"/>
      <w:numFmt w:val="decimal"/>
      <w:lvlText w:val="%1)"/>
      <w:lvlJc w:val="left"/>
      <w:pPr>
        <w:ind w:left="1440" w:hanging="360"/>
      </w:pPr>
      <w:rPr>
        <w:rFonts w:ascii="Avenir Black" w:hAnsi="Avenir Black" w:hint="default"/>
        <w:b/>
        <w:bCs/>
        <w:i w:val="0"/>
        <w:iCs w:val="0"/>
        <w:color w:val="91211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6"/>
  </w:num>
  <w:num w:numId="2">
    <w:abstractNumId w:val="18"/>
  </w:num>
  <w:num w:numId="3">
    <w:abstractNumId w:val="20"/>
  </w:num>
  <w:num w:numId="4">
    <w:abstractNumId w:val="14"/>
  </w:num>
  <w:num w:numId="5">
    <w:abstractNumId w:val="12"/>
  </w:num>
  <w:num w:numId="6">
    <w:abstractNumId w:val="3"/>
  </w:num>
  <w:num w:numId="7">
    <w:abstractNumId w:val="1"/>
  </w:num>
  <w:num w:numId="8">
    <w:abstractNumId w:val="4"/>
  </w:num>
  <w:num w:numId="9">
    <w:abstractNumId w:val="0"/>
  </w:num>
  <w:num w:numId="10">
    <w:abstractNumId w:val="8"/>
  </w:num>
  <w:num w:numId="11">
    <w:abstractNumId w:val="2"/>
  </w:num>
  <w:num w:numId="12">
    <w:abstractNumId w:val="7"/>
  </w:num>
  <w:num w:numId="13">
    <w:abstractNumId w:val="10"/>
  </w:num>
  <w:num w:numId="14">
    <w:abstractNumId w:val="11"/>
  </w:num>
  <w:num w:numId="15">
    <w:abstractNumId w:val="17"/>
  </w:num>
  <w:num w:numId="16">
    <w:abstractNumId w:val="15"/>
  </w:num>
  <w:num w:numId="17">
    <w:abstractNumId w:val="19"/>
  </w:num>
  <w:num w:numId="18">
    <w:abstractNumId w:val="9"/>
  </w:num>
  <w:num w:numId="19">
    <w:abstractNumId w:val="5"/>
  </w:num>
  <w:num w:numId="20">
    <w:abstractNumId w:val="13"/>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0"/>
  <w:removePersonalInformation/>
  <w:removeDateAndTim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946"/>
    <w:rsid w:val="00000FA0"/>
    <w:rsid w:val="0000151E"/>
    <w:rsid w:val="00003787"/>
    <w:rsid w:val="00005BE6"/>
    <w:rsid w:val="000063E0"/>
    <w:rsid w:val="00013ED5"/>
    <w:rsid w:val="000167B6"/>
    <w:rsid w:val="00017912"/>
    <w:rsid w:val="00017C35"/>
    <w:rsid w:val="00022120"/>
    <w:rsid w:val="0002293D"/>
    <w:rsid w:val="00023624"/>
    <w:rsid w:val="00024FCA"/>
    <w:rsid w:val="00025358"/>
    <w:rsid w:val="0002742B"/>
    <w:rsid w:val="000333CB"/>
    <w:rsid w:val="00033591"/>
    <w:rsid w:val="0003455C"/>
    <w:rsid w:val="000366F8"/>
    <w:rsid w:val="00037B34"/>
    <w:rsid w:val="0004792F"/>
    <w:rsid w:val="0005161E"/>
    <w:rsid w:val="0006744C"/>
    <w:rsid w:val="00071370"/>
    <w:rsid w:val="00071A71"/>
    <w:rsid w:val="000724AA"/>
    <w:rsid w:val="00077152"/>
    <w:rsid w:val="00086427"/>
    <w:rsid w:val="00094239"/>
    <w:rsid w:val="000966F8"/>
    <w:rsid w:val="000A1647"/>
    <w:rsid w:val="000A1775"/>
    <w:rsid w:val="000A1D60"/>
    <w:rsid w:val="000A3010"/>
    <w:rsid w:val="000A6CAE"/>
    <w:rsid w:val="000A70AD"/>
    <w:rsid w:val="000B1048"/>
    <w:rsid w:val="000B36CF"/>
    <w:rsid w:val="000B7D9D"/>
    <w:rsid w:val="000B7E5A"/>
    <w:rsid w:val="000E18F2"/>
    <w:rsid w:val="000E22BF"/>
    <w:rsid w:val="000E2E79"/>
    <w:rsid w:val="000E3597"/>
    <w:rsid w:val="000E56A6"/>
    <w:rsid w:val="000E5E78"/>
    <w:rsid w:val="000E7285"/>
    <w:rsid w:val="000E72CE"/>
    <w:rsid w:val="000F101F"/>
    <w:rsid w:val="000F1C83"/>
    <w:rsid w:val="000F5F8B"/>
    <w:rsid w:val="000F6C1C"/>
    <w:rsid w:val="000F6CE5"/>
    <w:rsid w:val="00101A50"/>
    <w:rsid w:val="00102243"/>
    <w:rsid w:val="00105043"/>
    <w:rsid w:val="00105717"/>
    <w:rsid w:val="00115E61"/>
    <w:rsid w:val="001161E1"/>
    <w:rsid w:val="001216AC"/>
    <w:rsid w:val="0012674E"/>
    <w:rsid w:val="00134BCA"/>
    <w:rsid w:val="00137954"/>
    <w:rsid w:val="00141608"/>
    <w:rsid w:val="00141B09"/>
    <w:rsid w:val="0014308E"/>
    <w:rsid w:val="00144055"/>
    <w:rsid w:val="00147322"/>
    <w:rsid w:val="001560CC"/>
    <w:rsid w:val="00164EDD"/>
    <w:rsid w:val="00170421"/>
    <w:rsid w:val="00173FCF"/>
    <w:rsid w:val="001740FE"/>
    <w:rsid w:val="0017614B"/>
    <w:rsid w:val="00177606"/>
    <w:rsid w:val="00177622"/>
    <w:rsid w:val="00182D5B"/>
    <w:rsid w:val="00183B38"/>
    <w:rsid w:val="00187684"/>
    <w:rsid w:val="001901B9"/>
    <w:rsid w:val="00190798"/>
    <w:rsid w:val="00194F91"/>
    <w:rsid w:val="001961BA"/>
    <w:rsid w:val="001A3FFF"/>
    <w:rsid w:val="001A61C5"/>
    <w:rsid w:val="001A7804"/>
    <w:rsid w:val="001A7CE7"/>
    <w:rsid w:val="001C13EB"/>
    <w:rsid w:val="001C1B5C"/>
    <w:rsid w:val="001C4074"/>
    <w:rsid w:val="001C645B"/>
    <w:rsid w:val="001D3F39"/>
    <w:rsid w:val="001D6414"/>
    <w:rsid w:val="001E7705"/>
    <w:rsid w:val="001F0F68"/>
    <w:rsid w:val="001F1492"/>
    <w:rsid w:val="001F14E8"/>
    <w:rsid w:val="001F1D5E"/>
    <w:rsid w:val="001F3EAC"/>
    <w:rsid w:val="001F4045"/>
    <w:rsid w:val="001F4D12"/>
    <w:rsid w:val="001F717E"/>
    <w:rsid w:val="002003A6"/>
    <w:rsid w:val="0020188F"/>
    <w:rsid w:val="0020391D"/>
    <w:rsid w:val="00213639"/>
    <w:rsid w:val="00220FEB"/>
    <w:rsid w:val="00222B24"/>
    <w:rsid w:val="00222D3D"/>
    <w:rsid w:val="0022615C"/>
    <w:rsid w:val="00230F07"/>
    <w:rsid w:val="0023490F"/>
    <w:rsid w:val="0023745D"/>
    <w:rsid w:val="00240686"/>
    <w:rsid w:val="00250695"/>
    <w:rsid w:val="0025235D"/>
    <w:rsid w:val="00256B84"/>
    <w:rsid w:val="0025711D"/>
    <w:rsid w:val="00260C39"/>
    <w:rsid w:val="00267A4E"/>
    <w:rsid w:val="002700FF"/>
    <w:rsid w:val="00270C82"/>
    <w:rsid w:val="002754E4"/>
    <w:rsid w:val="00277432"/>
    <w:rsid w:val="00280E34"/>
    <w:rsid w:val="00281734"/>
    <w:rsid w:val="00282411"/>
    <w:rsid w:val="002827E3"/>
    <w:rsid w:val="00282B84"/>
    <w:rsid w:val="0028511C"/>
    <w:rsid w:val="00285A62"/>
    <w:rsid w:val="00286C15"/>
    <w:rsid w:val="00292399"/>
    <w:rsid w:val="00293745"/>
    <w:rsid w:val="002947DC"/>
    <w:rsid w:val="002A446C"/>
    <w:rsid w:val="002A44F5"/>
    <w:rsid w:val="002B62CE"/>
    <w:rsid w:val="002C0E03"/>
    <w:rsid w:val="002C1119"/>
    <w:rsid w:val="002C23FA"/>
    <w:rsid w:val="002C3418"/>
    <w:rsid w:val="002C40AD"/>
    <w:rsid w:val="002C5A0D"/>
    <w:rsid w:val="002C5C1A"/>
    <w:rsid w:val="002D0F03"/>
    <w:rsid w:val="002D10B9"/>
    <w:rsid w:val="002D1761"/>
    <w:rsid w:val="002D3480"/>
    <w:rsid w:val="002D3977"/>
    <w:rsid w:val="002D6ACE"/>
    <w:rsid w:val="002E2AD3"/>
    <w:rsid w:val="002E2C8B"/>
    <w:rsid w:val="002E2CFF"/>
    <w:rsid w:val="002F0500"/>
    <w:rsid w:val="002F0665"/>
    <w:rsid w:val="002F29B7"/>
    <w:rsid w:val="00301978"/>
    <w:rsid w:val="00301F5C"/>
    <w:rsid w:val="003020FC"/>
    <w:rsid w:val="003106EE"/>
    <w:rsid w:val="00312279"/>
    <w:rsid w:val="00314127"/>
    <w:rsid w:val="0031597A"/>
    <w:rsid w:val="0033127E"/>
    <w:rsid w:val="0033227F"/>
    <w:rsid w:val="003331AA"/>
    <w:rsid w:val="00334458"/>
    <w:rsid w:val="0033518E"/>
    <w:rsid w:val="003400DE"/>
    <w:rsid w:val="00340C2F"/>
    <w:rsid w:val="0035220A"/>
    <w:rsid w:val="003528F8"/>
    <w:rsid w:val="00352D52"/>
    <w:rsid w:val="00353B73"/>
    <w:rsid w:val="003559EF"/>
    <w:rsid w:val="00360523"/>
    <w:rsid w:val="0036382D"/>
    <w:rsid w:val="003638EE"/>
    <w:rsid w:val="00366E49"/>
    <w:rsid w:val="003720F4"/>
    <w:rsid w:val="00373577"/>
    <w:rsid w:val="00376C4F"/>
    <w:rsid w:val="00381794"/>
    <w:rsid w:val="003911C3"/>
    <w:rsid w:val="003A18A5"/>
    <w:rsid w:val="003A2A61"/>
    <w:rsid w:val="003A6273"/>
    <w:rsid w:val="003A62CC"/>
    <w:rsid w:val="003B13A1"/>
    <w:rsid w:val="003C0F41"/>
    <w:rsid w:val="003C29D0"/>
    <w:rsid w:val="003C5E58"/>
    <w:rsid w:val="003D2990"/>
    <w:rsid w:val="003E0000"/>
    <w:rsid w:val="003E0F4E"/>
    <w:rsid w:val="003F0B70"/>
    <w:rsid w:val="003F1B4B"/>
    <w:rsid w:val="003F3C4A"/>
    <w:rsid w:val="003F5772"/>
    <w:rsid w:val="003F6570"/>
    <w:rsid w:val="00400394"/>
    <w:rsid w:val="0040223F"/>
    <w:rsid w:val="00406423"/>
    <w:rsid w:val="00416AC6"/>
    <w:rsid w:val="00417631"/>
    <w:rsid w:val="004219B9"/>
    <w:rsid w:val="00422E0C"/>
    <w:rsid w:val="0042390A"/>
    <w:rsid w:val="00423DEE"/>
    <w:rsid w:val="0042402D"/>
    <w:rsid w:val="00424C9D"/>
    <w:rsid w:val="00427B5E"/>
    <w:rsid w:val="00433883"/>
    <w:rsid w:val="00434C55"/>
    <w:rsid w:val="004432C2"/>
    <w:rsid w:val="00444283"/>
    <w:rsid w:val="00444FBC"/>
    <w:rsid w:val="00444FF3"/>
    <w:rsid w:val="00457507"/>
    <w:rsid w:val="00460145"/>
    <w:rsid w:val="00461D9F"/>
    <w:rsid w:val="00464B52"/>
    <w:rsid w:val="00466ED5"/>
    <w:rsid w:val="004729BC"/>
    <w:rsid w:val="004735EC"/>
    <w:rsid w:val="0048587D"/>
    <w:rsid w:val="00492A45"/>
    <w:rsid w:val="00494CBF"/>
    <w:rsid w:val="004A1F68"/>
    <w:rsid w:val="004A39D5"/>
    <w:rsid w:val="004A3C2D"/>
    <w:rsid w:val="004A3D03"/>
    <w:rsid w:val="004A6520"/>
    <w:rsid w:val="004A6FB5"/>
    <w:rsid w:val="004B0375"/>
    <w:rsid w:val="004C5FB9"/>
    <w:rsid w:val="004C612D"/>
    <w:rsid w:val="004C7B5A"/>
    <w:rsid w:val="004D0CF3"/>
    <w:rsid w:val="004D23AB"/>
    <w:rsid w:val="004E3004"/>
    <w:rsid w:val="004E68AF"/>
    <w:rsid w:val="004F1885"/>
    <w:rsid w:val="004F27C9"/>
    <w:rsid w:val="004F3CDB"/>
    <w:rsid w:val="004F73B5"/>
    <w:rsid w:val="00506A84"/>
    <w:rsid w:val="005133B7"/>
    <w:rsid w:val="0051364B"/>
    <w:rsid w:val="00516F27"/>
    <w:rsid w:val="00533702"/>
    <w:rsid w:val="00534348"/>
    <w:rsid w:val="005358D5"/>
    <w:rsid w:val="00540B47"/>
    <w:rsid w:val="00545042"/>
    <w:rsid w:val="00554888"/>
    <w:rsid w:val="0055490F"/>
    <w:rsid w:val="00555FC0"/>
    <w:rsid w:val="0055610A"/>
    <w:rsid w:val="00565324"/>
    <w:rsid w:val="00565372"/>
    <w:rsid w:val="005655B8"/>
    <w:rsid w:val="00567695"/>
    <w:rsid w:val="0056790F"/>
    <w:rsid w:val="0057301D"/>
    <w:rsid w:val="005827A2"/>
    <w:rsid w:val="005833BE"/>
    <w:rsid w:val="005847A7"/>
    <w:rsid w:val="005961D0"/>
    <w:rsid w:val="005A0489"/>
    <w:rsid w:val="005A1273"/>
    <w:rsid w:val="005A2B10"/>
    <w:rsid w:val="005C2A39"/>
    <w:rsid w:val="005C67CB"/>
    <w:rsid w:val="005C77C1"/>
    <w:rsid w:val="005D26D1"/>
    <w:rsid w:val="005D5C2F"/>
    <w:rsid w:val="005D6C8C"/>
    <w:rsid w:val="005D7C12"/>
    <w:rsid w:val="005E1BF0"/>
    <w:rsid w:val="005E2551"/>
    <w:rsid w:val="005E3ECA"/>
    <w:rsid w:val="005E5617"/>
    <w:rsid w:val="005E5C7C"/>
    <w:rsid w:val="005F066E"/>
    <w:rsid w:val="005F13FD"/>
    <w:rsid w:val="005F36CA"/>
    <w:rsid w:val="006011AF"/>
    <w:rsid w:val="006028FF"/>
    <w:rsid w:val="00602F2E"/>
    <w:rsid w:val="00604A39"/>
    <w:rsid w:val="00604C45"/>
    <w:rsid w:val="00611495"/>
    <w:rsid w:val="00614834"/>
    <w:rsid w:val="00622D85"/>
    <w:rsid w:val="0062312B"/>
    <w:rsid w:val="00625B11"/>
    <w:rsid w:val="00627D6A"/>
    <w:rsid w:val="00637947"/>
    <w:rsid w:val="00640E6A"/>
    <w:rsid w:val="00642446"/>
    <w:rsid w:val="006439E8"/>
    <w:rsid w:val="00645392"/>
    <w:rsid w:val="00646A14"/>
    <w:rsid w:val="0064719F"/>
    <w:rsid w:val="00650258"/>
    <w:rsid w:val="00651903"/>
    <w:rsid w:val="0065387F"/>
    <w:rsid w:val="00657416"/>
    <w:rsid w:val="00657421"/>
    <w:rsid w:val="00664F80"/>
    <w:rsid w:val="006671CC"/>
    <w:rsid w:val="00673057"/>
    <w:rsid w:val="006805AE"/>
    <w:rsid w:val="00680912"/>
    <w:rsid w:val="00680C60"/>
    <w:rsid w:val="00685286"/>
    <w:rsid w:val="0069104B"/>
    <w:rsid w:val="00691849"/>
    <w:rsid w:val="00691E25"/>
    <w:rsid w:val="00695387"/>
    <w:rsid w:val="0069608C"/>
    <w:rsid w:val="006A240B"/>
    <w:rsid w:val="006A5E18"/>
    <w:rsid w:val="006B2745"/>
    <w:rsid w:val="006B4584"/>
    <w:rsid w:val="006C41E3"/>
    <w:rsid w:val="006C5785"/>
    <w:rsid w:val="006C6C69"/>
    <w:rsid w:val="006D0B10"/>
    <w:rsid w:val="006D6C70"/>
    <w:rsid w:val="006D6C95"/>
    <w:rsid w:val="006E0650"/>
    <w:rsid w:val="006F0A94"/>
    <w:rsid w:val="006F3946"/>
    <w:rsid w:val="006F3DDC"/>
    <w:rsid w:val="006F5A3D"/>
    <w:rsid w:val="006F6CCC"/>
    <w:rsid w:val="00700BF6"/>
    <w:rsid w:val="00701ACB"/>
    <w:rsid w:val="00702ABC"/>
    <w:rsid w:val="0070315C"/>
    <w:rsid w:val="00704226"/>
    <w:rsid w:val="007100AD"/>
    <w:rsid w:val="0071410C"/>
    <w:rsid w:val="00715458"/>
    <w:rsid w:val="007200CA"/>
    <w:rsid w:val="00725785"/>
    <w:rsid w:val="00730EAA"/>
    <w:rsid w:val="0073354F"/>
    <w:rsid w:val="00742BD0"/>
    <w:rsid w:val="007431BB"/>
    <w:rsid w:val="00746166"/>
    <w:rsid w:val="007469B9"/>
    <w:rsid w:val="00761D50"/>
    <w:rsid w:val="00764B09"/>
    <w:rsid w:val="00765CFE"/>
    <w:rsid w:val="00766378"/>
    <w:rsid w:val="00767AB5"/>
    <w:rsid w:val="007756E1"/>
    <w:rsid w:val="00776BF0"/>
    <w:rsid w:val="00776C47"/>
    <w:rsid w:val="00776E05"/>
    <w:rsid w:val="007811A7"/>
    <w:rsid w:val="00791627"/>
    <w:rsid w:val="007A177D"/>
    <w:rsid w:val="007A2419"/>
    <w:rsid w:val="007A3F17"/>
    <w:rsid w:val="007B3C37"/>
    <w:rsid w:val="007C2393"/>
    <w:rsid w:val="007C2708"/>
    <w:rsid w:val="007C3A20"/>
    <w:rsid w:val="007C4F9E"/>
    <w:rsid w:val="007C6E2C"/>
    <w:rsid w:val="007C7758"/>
    <w:rsid w:val="007C78C9"/>
    <w:rsid w:val="007D7D72"/>
    <w:rsid w:val="007E0232"/>
    <w:rsid w:val="007F0C02"/>
    <w:rsid w:val="007F2733"/>
    <w:rsid w:val="007F38C9"/>
    <w:rsid w:val="008004A6"/>
    <w:rsid w:val="00804DF6"/>
    <w:rsid w:val="00805D69"/>
    <w:rsid w:val="008063CA"/>
    <w:rsid w:val="00807833"/>
    <w:rsid w:val="00811344"/>
    <w:rsid w:val="00815A18"/>
    <w:rsid w:val="0082301A"/>
    <w:rsid w:val="0082320A"/>
    <w:rsid w:val="00825817"/>
    <w:rsid w:val="00826803"/>
    <w:rsid w:val="00827A91"/>
    <w:rsid w:val="00840081"/>
    <w:rsid w:val="008400B4"/>
    <w:rsid w:val="0084296B"/>
    <w:rsid w:val="00843102"/>
    <w:rsid w:val="00844AA8"/>
    <w:rsid w:val="00845191"/>
    <w:rsid w:val="00845FA1"/>
    <w:rsid w:val="00850C97"/>
    <w:rsid w:val="00850FA5"/>
    <w:rsid w:val="00851DA5"/>
    <w:rsid w:val="00862582"/>
    <w:rsid w:val="008631F2"/>
    <w:rsid w:val="00867C06"/>
    <w:rsid w:val="008761AF"/>
    <w:rsid w:val="00876951"/>
    <w:rsid w:val="00882B29"/>
    <w:rsid w:val="0088405C"/>
    <w:rsid w:val="00893947"/>
    <w:rsid w:val="00893E20"/>
    <w:rsid w:val="00894618"/>
    <w:rsid w:val="008A3B89"/>
    <w:rsid w:val="008A7CEE"/>
    <w:rsid w:val="008B5EDA"/>
    <w:rsid w:val="008B6CB8"/>
    <w:rsid w:val="008C41E2"/>
    <w:rsid w:val="008C436F"/>
    <w:rsid w:val="008C68FD"/>
    <w:rsid w:val="008D349D"/>
    <w:rsid w:val="008D3C27"/>
    <w:rsid w:val="008D7E1A"/>
    <w:rsid w:val="008E05B4"/>
    <w:rsid w:val="008E3E2B"/>
    <w:rsid w:val="009039CF"/>
    <w:rsid w:val="00907714"/>
    <w:rsid w:val="00912E97"/>
    <w:rsid w:val="00913A1D"/>
    <w:rsid w:val="00921707"/>
    <w:rsid w:val="00921EC5"/>
    <w:rsid w:val="00921FFA"/>
    <w:rsid w:val="00924BCA"/>
    <w:rsid w:val="0092504A"/>
    <w:rsid w:val="00925A45"/>
    <w:rsid w:val="00927CD1"/>
    <w:rsid w:val="009312EE"/>
    <w:rsid w:val="0093136C"/>
    <w:rsid w:val="009402C1"/>
    <w:rsid w:val="00945C88"/>
    <w:rsid w:val="00946DCA"/>
    <w:rsid w:val="00957927"/>
    <w:rsid w:val="009627DF"/>
    <w:rsid w:val="00964228"/>
    <w:rsid w:val="00967258"/>
    <w:rsid w:val="00967A77"/>
    <w:rsid w:val="00967CFC"/>
    <w:rsid w:val="0097113F"/>
    <w:rsid w:val="0097648B"/>
    <w:rsid w:val="00976B94"/>
    <w:rsid w:val="00983C01"/>
    <w:rsid w:val="00986280"/>
    <w:rsid w:val="00987E1A"/>
    <w:rsid w:val="009916E4"/>
    <w:rsid w:val="00992E09"/>
    <w:rsid w:val="00992EC9"/>
    <w:rsid w:val="00994A62"/>
    <w:rsid w:val="00995509"/>
    <w:rsid w:val="009A08FC"/>
    <w:rsid w:val="009A412C"/>
    <w:rsid w:val="009A4148"/>
    <w:rsid w:val="009A6B3A"/>
    <w:rsid w:val="009A6EB7"/>
    <w:rsid w:val="009A7557"/>
    <w:rsid w:val="009A7B2B"/>
    <w:rsid w:val="009B5B2A"/>
    <w:rsid w:val="009C1C67"/>
    <w:rsid w:val="009C31AD"/>
    <w:rsid w:val="009C5DDB"/>
    <w:rsid w:val="009D61E3"/>
    <w:rsid w:val="009D7340"/>
    <w:rsid w:val="009E356D"/>
    <w:rsid w:val="009E4689"/>
    <w:rsid w:val="009E5F25"/>
    <w:rsid w:val="009E68EB"/>
    <w:rsid w:val="00A00EFC"/>
    <w:rsid w:val="00A06446"/>
    <w:rsid w:val="00A06D6F"/>
    <w:rsid w:val="00A07F37"/>
    <w:rsid w:val="00A10C97"/>
    <w:rsid w:val="00A13E9C"/>
    <w:rsid w:val="00A1454A"/>
    <w:rsid w:val="00A16DC4"/>
    <w:rsid w:val="00A23072"/>
    <w:rsid w:val="00A23C68"/>
    <w:rsid w:val="00A25CD2"/>
    <w:rsid w:val="00A350DE"/>
    <w:rsid w:val="00A4046F"/>
    <w:rsid w:val="00A41502"/>
    <w:rsid w:val="00A415EC"/>
    <w:rsid w:val="00A425C7"/>
    <w:rsid w:val="00A4356F"/>
    <w:rsid w:val="00A44221"/>
    <w:rsid w:val="00A44597"/>
    <w:rsid w:val="00A44A4F"/>
    <w:rsid w:val="00A467D9"/>
    <w:rsid w:val="00A471A1"/>
    <w:rsid w:val="00A47467"/>
    <w:rsid w:val="00A475A8"/>
    <w:rsid w:val="00A4795E"/>
    <w:rsid w:val="00A52ECD"/>
    <w:rsid w:val="00A5751A"/>
    <w:rsid w:val="00A64C46"/>
    <w:rsid w:val="00A73D2D"/>
    <w:rsid w:val="00A757FC"/>
    <w:rsid w:val="00A76356"/>
    <w:rsid w:val="00A8055C"/>
    <w:rsid w:val="00A90F78"/>
    <w:rsid w:val="00A9376D"/>
    <w:rsid w:val="00A97F85"/>
    <w:rsid w:val="00AA23D5"/>
    <w:rsid w:val="00AB0D99"/>
    <w:rsid w:val="00AB1265"/>
    <w:rsid w:val="00AC2522"/>
    <w:rsid w:val="00AC269D"/>
    <w:rsid w:val="00AC3F4A"/>
    <w:rsid w:val="00AC5BA6"/>
    <w:rsid w:val="00AD09A5"/>
    <w:rsid w:val="00AD483D"/>
    <w:rsid w:val="00AD4E36"/>
    <w:rsid w:val="00AD7EA1"/>
    <w:rsid w:val="00AE2D21"/>
    <w:rsid w:val="00AE2F23"/>
    <w:rsid w:val="00AE52BE"/>
    <w:rsid w:val="00AE54F4"/>
    <w:rsid w:val="00AE606A"/>
    <w:rsid w:val="00AE66E6"/>
    <w:rsid w:val="00AE79D3"/>
    <w:rsid w:val="00AF0A41"/>
    <w:rsid w:val="00AF1573"/>
    <w:rsid w:val="00AF16D3"/>
    <w:rsid w:val="00AF45F9"/>
    <w:rsid w:val="00AF4F0A"/>
    <w:rsid w:val="00AF5BC1"/>
    <w:rsid w:val="00AF67BF"/>
    <w:rsid w:val="00AF6B48"/>
    <w:rsid w:val="00AF7430"/>
    <w:rsid w:val="00B006FB"/>
    <w:rsid w:val="00B0574F"/>
    <w:rsid w:val="00B05CA4"/>
    <w:rsid w:val="00B1011C"/>
    <w:rsid w:val="00B12916"/>
    <w:rsid w:val="00B1305F"/>
    <w:rsid w:val="00B13825"/>
    <w:rsid w:val="00B1472F"/>
    <w:rsid w:val="00B155C7"/>
    <w:rsid w:val="00B2393E"/>
    <w:rsid w:val="00B244E9"/>
    <w:rsid w:val="00B30E45"/>
    <w:rsid w:val="00B31454"/>
    <w:rsid w:val="00B32A45"/>
    <w:rsid w:val="00B34D60"/>
    <w:rsid w:val="00B41509"/>
    <w:rsid w:val="00B438F7"/>
    <w:rsid w:val="00B441BC"/>
    <w:rsid w:val="00B4563F"/>
    <w:rsid w:val="00B465A7"/>
    <w:rsid w:val="00B50506"/>
    <w:rsid w:val="00B5345C"/>
    <w:rsid w:val="00B535B2"/>
    <w:rsid w:val="00B54BB2"/>
    <w:rsid w:val="00B551E4"/>
    <w:rsid w:val="00B7060A"/>
    <w:rsid w:val="00B709E8"/>
    <w:rsid w:val="00B77C7F"/>
    <w:rsid w:val="00B81176"/>
    <w:rsid w:val="00B82A5D"/>
    <w:rsid w:val="00B82CBA"/>
    <w:rsid w:val="00B831FD"/>
    <w:rsid w:val="00B83C93"/>
    <w:rsid w:val="00B862A4"/>
    <w:rsid w:val="00B871AE"/>
    <w:rsid w:val="00B87E7D"/>
    <w:rsid w:val="00B9384A"/>
    <w:rsid w:val="00B968AD"/>
    <w:rsid w:val="00B96FBE"/>
    <w:rsid w:val="00BA344E"/>
    <w:rsid w:val="00BA6391"/>
    <w:rsid w:val="00BB6E04"/>
    <w:rsid w:val="00BC0992"/>
    <w:rsid w:val="00BC5DE4"/>
    <w:rsid w:val="00BD2E5D"/>
    <w:rsid w:val="00BD486C"/>
    <w:rsid w:val="00BD5096"/>
    <w:rsid w:val="00BD5328"/>
    <w:rsid w:val="00BE05A7"/>
    <w:rsid w:val="00BE0AD5"/>
    <w:rsid w:val="00BE280E"/>
    <w:rsid w:val="00BE7814"/>
    <w:rsid w:val="00BE7A50"/>
    <w:rsid w:val="00BF1856"/>
    <w:rsid w:val="00BF1A62"/>
    <w:rsid w:val="00BF350C"/>
    <w:rsid w:val="00BF7A95"/>
    <w:rsid w:val="00C02311"/>
    <w:rsid w:val="00C05544"/>
    <w:rsid w:val="00C17479"/>
    <w:rsid w:val="00C20583"/>
    <w:rsid w:val="00C22009"/>
    <w:rsid w:val="00C30C75"/>
    <w:rsid w:val="00C37281"/>
    <w:rsid w:val="00C40737"/>
    <w:rsid w:val="00C415D1"/>
    <w:rsid w:val="00C422F5"/>
    <w:rsid w:val="00C5085D"/>
    <w:rsid w:val="00C630F0"/>
    <w:rsid w:val="00C647ED"/>
    <w:rsid w:val="00C66025"/>
    <w:rsid w:val="00C70909"/>
    <w:rsid w:val="00C74840"/>
    <w:rsid w:val="00C8691C"/>
    <w:rsid w:val="00C86B70"/>
    <w:rsid w:val="00C86F09"/>
    <w:rsid w:val="00C870B9"/>
    <w:rsid w:val="00C91163"/>
    <w:rsid w:val="00C91379"/>
    <w:rsid w:val="00C91F44"/>
    <w:rsid w:val="00C940E4"/>
    <w:rsid w:val="00C9494B"/>
    <w:rsid w:val="00CB2983"/>
    <w:rsid w:val="00CB46FA"/>
    <w:rsid w:val="00CB54C8"/>
    <w:rsid w:val="00CB685B"/>
    <w:rsid w:val="00CC2055"/>
    <w:rsid w:val="00CC5FB6"/>
    <w:rsid w:val="00CC7717"/>
    <w:rsid w:val="00CD4E22"/>
    <w:rsid w:val="00CE0A74"/>
    <w:rsid w:val="00CE26C0"/>
    <w:rsid w:val="00CE6AEB"/>
    <w:rsid w:val="00CF4B2D"/>
    <w:rsid w:val="00CF7671"/>
    <w:rsid w:val="00D04897"/>
    <w:rsid w:val="00D067AE"/>
    <w:rsid w:val="00D07881"/>
    <w:rsid w:val="00D120A1"/>
    <w:rsid w:val="00D135DD"/>
    <w:rsid w:val="00D16766"/>
    <w:rsid w:val="00D16A2E"/>
    <w:rsid w:val="00D22608"/>
    <w:rsid w:val="00D2451D"/>
    <w:rsid w:val="00D256E7"/>
    <w:rsid w:val="00D267E7"/>
    <w:rsid w:val="00D315D5"/>
    <w:rsid w:val="00D32FD9"/>
    <w:rsid w:val="00D35D04"/>
    <w:rsid w:val="00D429F1"/>
    <w:rsid w:val="00D430C3"/>
    <w:rsid w:val="00D432FD"/>
    <w:rsid w:val="00D44BE6"/>
    <w:rsid w:val="00D44FD9"/>
    <w:rsid w:val="00D507A7"/>
    <w:rsid w:val="00D507F8"/>
    <w:rsid w:val="00D50800"/>
    <w:rsid w:val="00D538A3"/>
    <w:rsid w:val="00D53C6D"/>
    <w:rsid w:val="00D56653"/>
    <w:rsid w:val="00D64571"/>
    <w:rsid w:val="00D65E51"/>
    <w:rsid w:val="00D664B1"/>
    <w:rsid w:val="00D726E5"/>
    <w:rsid w:val="00D76C8F"/>
    <w:rsid w:val="00D773A3"/>
    <w:rsid w:val="00D80364"/>
    <w:rsid w:val="00D81F67"/>
    <w:rsid w:val="00D8673A"/>
    <w:rsid w:val="00D87960"/>
    <w:rsid w:val="00D9163B"/>
    <w:rsid w:val="00D92442"/>
    <w:rsid w:val="00DA1797"/>
    <w:rsid w:val="00DA4B9A"/>
    <w:rsid w:val="00DA6C6B"/>
    <w:rsid w:val="00DB00F9"/>
    <w:rsid w:val="00DB6933"/>
    <w:rsid w:val="00DC1D8B"/>
    <w:rsid w:val="00DC5557"/>
    <w:rsid w:val="00DC7C47"/>
    <w:rsid w:val="00DD1030"/>
    <w:rsid w:val="00DD1FA6"/>
    <w:rsid w:val="00DD279C"/>
    <w:rsid w:val="00DD3124"/>
    <w:rsid w:val="00DD4825"/>
    <w:rsid w:val="00DE2F78"/>
    <w:rsid w:val="00DE4554"/>
    <w:rsid w:val="00DE484C"/>
    <w:rsid w:val="00DE496D"/>
    <w:rsid w:val="00DE6450"/>
    <w:rsid w:val="00DE68C7"/>
    <w:rsid w:val="00DE78E6"/>
    <w:rsid w:val="00DF35A2"/>
    <w:rsid w:val="00E01D73"/>
    <w:rsid w:val="00E065DD"/>
    <w:rsid w:val="00E06BA8"/>
    <w:rsid w:val="00E079D3"/>
    <w:rsid w:val="00E07A1E"/>
    <w:rsid w:val="00E07C7E"/>
    <w:rsid w:val="00E1395E"/>
    <w:rsid w:val="00E16F08"/>
    <w:rsid w:val="00E176F6"/>
    <w:rsid w:val="00E227A6"/>
    <w:rsid w:val="00E22C80"/>
    <w:rsid w:val="00E2368D"/>
    <w:rsid w:val="00E24FF5"/>
    <w:rsid w:val="00E25C54"/>
    <w:rsid w:val="00E3160B"/>
    <w:rsid w:val="00E36AA4"/>
    <w:rsid w:val="00E36C98"/>
    <w:rsid w:val="00E42C06"/>
    <w:rsid w:val="00E44A2A"/>
    <w:rsid w:val="00E45DCB"/>
    <w:rsid w:val="00E469FA"/>
    <w:rsid w:val="00E475AC"/>
    <w:rsid w:val="00E478EE"/>
    <w:rsid w:val="00E5043C"/>
    <w:rsid w:val="00E54A7D"/>
    <w:rsid w:val="00E56FEE"/>
    <w:rsid w:val="00E57A6E"/>
    <w:rsid w:val="00E6009D"/>
    <w:rsid w:val="00E60878"/>
    <w:rsid w:val="00E6280A"/>
    <w:rsid w:val="00E62AE8"/>
    <w:rsid w:val="00E62F3B"/>
    <w:rsid w:val="00E6689C"/>
    <w:rsid w:val="00E75158"/>
    <w:rsid w:val="00E81AF8"/>
    <w:rsid w:val="00E8316F"/>
    <w:rsid w:val="00E8373F"/>
    <w:rsid w:val="00E83DBE"/>
    <w:rsid w:val="00E87159"/>
    <w:rsid w:val="00E87238"/>
    <w:rsid w:val="00E87F2E"/>
    <w:rsid w:val="00E90375"/>
    <w:rsid w:val="00E93489"/>
    <w:rsid w:val="00E93519"/>
    <w:rsid w:val="00EA3665"/>
    <w:rsid w:val="00EA3D8B"/>
    <w:rsid w:val="00EB58C1"/>
    <w:rsid w:val="00EB7DB4"/>
    <w:rsid w:val="00EC08F6"/>
    <w:rsid w:val="00EC2CE9"/>
    <w:rsid w:val="00EC5799"/>
    <w:rsid w:val="00ED039D"/>
    <w:rsid w:val="00ED6CF7"/>
    <w:rsid w:val="00ED7245"/>
    <w:rsid w:val="00EE0E55"/>
    <w:rsid w:val="00EE6872"/>
    <w:rsid w:val="00EE6E15"/>
    <w:rsid w:val="00EE6E85"/>
    <w:rsid w:val="00EF4E80"/>
    <w:rsid w:val="00EF5AAA"/>
    <w:rsid w:val="00F00985"/>
    <w:rsid w:val="00F00FB3"/>
    <w:rsid w:val="00F01684"/>
    <w:rsid w:val="00F02A00"/>
    <w:rsid w:val="00F044EA"/>
    <w:rsid w:val="00F062FD"/>
    <w:rsid w:val="00F16970"/>
    <w:rsid w:val="00F17447"/>
    <w:rsid w:val="00F1767E"/>
    <w:rsid w:val="00F25ECC"/>
    <w:rsid w:val="00F33843"/>
    <w:rsid w:val="00F343FA"/>
    <w:rsid w:val="00F402A6"/>
    <w:rsid w:val="00F436F3"/>
    <w:rsid w:val="00F502DA"/>
    <w:rsid w:val="00F51D76"/>
    <w:rsid w:val="00F57717"/>
    <w:rsid w:val="00F618E9"/>
    <w:rsid w:val="00F62EB5"/>
    <w:rsid w:val="00F64E05"/>
    <w:rsid w:val="00F65031"/>
    <w:rsid w:val="00F707A4"/>
    <w:rsid w:val="00F7128A"/>
    <w:rsid w:val="00F729E9"/>
    <w:rsid w:val="00F74303"/>
    <w:rsid w:val="00F74313"/>
    <w:rsid w:val="00F7457C"/>
    <w:rsid w:val="00F76C5D"/>
    <w:rsid w:val="00F82636"/>
    <w:rsid w:val="00F85570"/>
    <w:rsid w:val="00F85AC7"/>
    <w:rsid w:val="00F914D9"/>
    <w:rsid w:val="00F92AFB"/>
    <w:rsid w:val="00F95B34"/>
    <w:rsid w:val="00FA05A3"/>
    <w:rsid w:val="00FA37A1"/>
    <w:rsid w:val="00FA4C8C"/>
    <w:rsid w:val="00FB1E3A"/>
    <w:rsid w:val="00FB32D5"/>
    <w:rsid w:val="00FB7A1E"/>
    <w:rsid w:val="00FC1F61"/>
    <w:rsid w:val="00FC2736"/>
    <w:rsid w:val="00FD3BC9"/>
    <w:rsid w:val="00FE0B11"/>
    <w:rsid w:val="00FE1285"/>
    <w:rsid w:val="00FE416E"/>
    <w:rsid w:val="00FE56DB"/>
    <w:rsid w:val="00FE62FE"/>
    <w:rsid w:val="00FE7959"/>
    <w:rsid w:val="00FE7A7B"/>
    <w:rsid w:val="00FF0935"/>
    <w:rsid w:val="00FF1D25"/>
    <w:rsid w:val="00FF58EE"/>
    <w:rsid w:val="00FF65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126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3A3"/>
    <w:pPr>
      <w:spacing w:after="0" w:line="240" w:lineRule="auto"/>
    </w:pPr>
  </w:style>
  <w:style w:type="paragraph" w:styleId="Heading1">
    <w:name w:val="heading 1"/>
    <w:basedOn w:val="Normal"/>
    <w:next w:val="Normal"/>
    <w:rsid w:val="0001459D"/>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FootnoteText">
    <w:name w:val="footnote text"/>
    <w:basedOn w:val="Normal"/>
    <w:link w:val="FootnoteTextChar"/>
    <w:uiPriority w:val="99"/>
    <w:unhideWhenUsed/>
    <w:rsid w:val="0009562E"/>
    <w:rPr>
      <w:sz w:val="20"/>
      <w:szCs w:val="20"/>
    </w:rPr>
  </w:style>
  <w:style w:type="character" w:customStyle="1" w:styleId="FootnoteTextChar">
    <w:name w:val="Footnote Text Char"/>
    <w:basedOn w:val="DefaultParagraphFont"/>
    <w:link w:val="FootnoteText"/>
    <w:uiPriority w:val="99"/>
    <w:rsid w:val="0009562E"/>
    <w:rPr>
      <w:sz w:val="20"/>
      <w:szCs w:val="20"/>
    </w:rPr>
  </w:style>
  <w:style w:type="character" w:styleId="FootnoteReference">
    <w:name w:val="footnote reference"/>
    <w:basedOn w:val="DefaultParagraphFont"/>
    <w:uiPriority w:val="99"/>
    <w:unhideWhenUsed/>
    <w:rsid w:val="0009562E"/>
    <w:rPr>
      <w:vertAlign w:val="superscript"/>
    </w:rPr>
  </w:style>
  <w:style w:type="paragraph" w:styleId="Header">
    <w:name w:val="header"/>
    <w:basedOn w:val="Normal"/>
    <w:link w:val="HeaderChar"/>
    <w:uiPriority w:val="99"/>
    <w:unhideWhenUsed/>
    <w:rsid w:val="000C43D6"/>
    <w:pPr>
      <w:tabs>
        <w:tab w:val="center" w:pos="4680"/>
        <w:tab w:val="right" w:pos="9360"/>
      </w:tabs>
    </w:pPr>
  </w:style>
  <w:style w:type="character" w:customStyle="1" w:styleId="HeaderChar">
    <w:name w:val="Header Char"/>
    <w:basedOn w:val="DefaultParagraphFont"/>
    <w:link w:val="Header"/>
    <w:uiPriority w:val="99"/>
    <w:rsid w:val="000C43D6"/>
  </w:style>
  <w:style w:type="paragraph" w:styleId="Footer">
    <w:name w:val="footer"/>
    <w:basedOn w:val="Normal"/>
    <w:link w:val="FooterChar"/>
    <w:uiPriority w:val="99"/>
    <w:unhideWhenUsed/>
    <w:rsid w:val="000C43D6"/>
    <w:pPr>
      <w:tabs>
        <w:tab w:val="center" w:pos="4680"/>
        <w:tab w:val="right" w:pos="9360"/>
      </w:tabs>
    </w:pPr>
  </w:style>
  <w:style w:type="character" w:customStyle="1" w:styleId="FooterChar">
    <w:name w:val="Footer Char"/>
    <w:basedOn w:val="DefaultParagraphFont"/>
    <w:link w:val="Footer"/>
    <w:uiPriority w:val="99"/>
    <w:rsid w:val="000C43D6"/>
  </w:style>
  <w:style w:type="paragraph" w:styleId="ListParagraph">
    <w:name w:val="List Paragraph"/>
    <w:basedOn w:val="Normal"/>
    <w:uiPriority w:val="34"/>
    <w:qFormat/>
    <w:rsid w:val="005149DB"/>
    <w:pPr>
      <w:ind w:left="720"/>
      <w:contextualSpacing/>
    </w:pPr>
  </w:style>
  <w:style w:type="character" w:styleId="Hyperlink">
    <w:name w:val="Hyperlink"/>
    <w:basedOn w:val="DefaultParagraphFont"/>
    <w:uiPriority w:val="99"/>
    <w:unhideWhenUsed/>
    <w:rsid w:val="007F1A69"/>
    <w:rPr>
      <w:color w:val="0563C1" w:themeColor="hyperlink"/>
      <w:u w:val="single"/>
    </w:rPr>
  </w:style>
  <w:style w:type="character" w:customStyle="1" w:styleId="UnresolvedMention1">
    <w:name w:val="Unresolved Mention1"/>
    <w:basedOn w:val="DefaultParagraphFont"/>
    <w:uiPriority w:val="99"/>
    <w:semiHidden/>
    <w:unhideWhenUsed/>
    <w:rsid w:val="007F1A69"/>
    <w:rPr>
      <w:color w:val="605E5C"/>
      <w:shd w:val="clear" w:color="auto" w:fill="E1DFDD"/>
    </w:rPr>
  </w:style>
  <w:style w:type="character" w:styleId="CommentReference">
    <w:name w:val="annotation reference"/>
    <w:basedOn w:val="DefaultParagraphFont"/>
    <w:uiPriority w:val="99"/>
    <w:semiHidden/>
    <w:unhideWhenUsed/>
    <w:rsid w:val="00EF1F73"/>
    <w:rPr>
      <w:sz w:val="16"/>
      <w:szCs w:val="16"/>
    </w:rPr>
  </w:style>
  <w:style w:type="paragraph" w:styleId="CommentText">
    <w:name w:val="annotation text"/>
    <w:basedOn w:val="Normal"/>
    <w:link w:val="CommentTextChar"/>
    <w:uiPriority w:val="99"/>
    <w:semiHidden/>
    <w:unhideWhenUsed/>
    <w:rsid w:val="00EF1F73"/>
    <w:rPr>
      <w:sz w:val="20"/>
      <w:szCs w:val="20"/>
    </w:rPr>
  </w:style>
  <w:style w:type="character" w:customStyle="1" w:styleId="CommentTextChar">
    <w:name w:val="Comment Text Char"/>
    <w:basedOn w:val="DefaultParagraphFont"/>
    <w:link w:val="CommentText"/>
    <w:uiPriority w:val="99"/>
    <w:semiHidden/>
    <w:rsid w:val="00EF1F73"/>
    <w:rPr>
      <w:sz w:val="20"/>
      <w:szCs w:val="20"/>
    </w:rPr>
  </w:style>
  <w:style w:type="paragraph" w:styleId="CommentSubject">
    <w:name w:val="annotation subject"/>
    <w:basedOn w:val="CommentText"/>
    <w:next w:val="CommentText"/>
    <w:link w:val="CommentSubjectChar"/>
    <w:uiPriority w:val="99"/>
    <w:semiHidden/>
    <w:unhideWhenUsed/>
    <w:rsid w:val="00EF1F73"/>
    <w:rPr>
      <w:b/>
      <w:bCs/>
    </w:rPr>
  </w:style>
  <w:style w:type="character" w:customStyle="1" w:styleId="CommentSubjectChar">
    <w:name w:val="Comment Subject Char"/>
    <w:basedOn w:val="CommentTextChar"/>
    <w:link w:val="CommentSubject"/>
    <w:uiPriority w:val="99"/>
    <w:semiHidden/>
    <w:rsid w:val="00EF1F73"/>
    <w:rPr>
      <w:b/>
      <w:bCs/>
      <w:sz w:val="20"/>
      <w:szCs w:val="20"/>
    </w:rPr>
  </w:style>
  <w:style w:type="paragraph" w:styleId="BalloonText">
    <w:name w:val="Balloon Text"/>
    <w:basedOn w:val="Normal"/>
    <w:link w:val="BalloonTextChar"/>
    <w:uiPriority w:val="99"/>
    <w:semiHidden/>
    <w:unhideWhenUsed/>
    <w:rsid w:val="00EF1F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F73"/>
    <w:rPr>
      <w:rFonts w:ascii="Segoe UI" w:hAnsi="Segoe UI" w:cs="Segoe UI"/>
      <w:sz w:val="18"/>
      <w:szCs w:val="18"/>
    </w:rPr>
  </w:style>
  <w:style w:type="paragraph" w:styleId="NormalWeb">
    <w:name w:val="Normal (Web)"/>
    <w:basedOn w:val="Normal"/>
    <w:uiPriority w:val="99"/>
    <w:semiHidden/>
    <w:unhideWhenUsed/>
    <w:rsid w:val="00830AC7"/>
    <w:pPr>
      <w:spacing w:before="100" w:beforeAutospacing="1" w:after="100" w:afterAutospacing="1"/>
    </w:pPr>
  </w:style>
  <w:style w:type="table" w:styleId="TableGrid">
    <w:name w:val="Table Grid"/>
    <w:basedOn w:val="TableNormal"/>
    <w:uiPriority w:val="39"/>
    <w:rsid w:val="00120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275533"/>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pPr>
      <w:spacing w:after="0" w:line="240" w:lineRule="auto"/>
    </w:pPr>
    <w:tblPr>
      <w:tblStyleRowBandSize w:val="1"/>
      <w:tblStyleColBandSize w:val="1"/>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pPr>
      <w:spacing w:after="0" w:line="240" w:lineRule="auto"/>
    </w:pPr>
    <w:tblPr>
      <w:tblStyleRowBandSize w:val="1"/>
      <w:tblStyleColBandSize w:val="1"/>
    </w:tblPr>
  </w:style>
  <w:style w:type="paragraph" w:styleId="Revision">
    <w:name w:val="Revision"/>
    <w:hidden/>
    <w:uiPriority w:val="99"/>
    <w:semiHidden/>
    <w:rsid w:val="00E013F4"/>
    <w:pPr>
      <w:spacing w:after="0" w:line="240" w:lineRule="auto"/>
    </w:pPr>
  </w:style>
  <w:style w:type="paragraph" w:styleId="EndnoteText">
    <w:name w:val="endnote text"/>
    <w:basedOn w:val="Normal"/>
    <w:link w:val="EndnoteTextChar"/>
    <w:uiPriority w:val="99"/>
    <w:unhideWhenUsed/>
    <w:rsid w:val="00D942C2"/>
  </w:style>
  <w:style w:type="character" w:customStyle="1" w:styleId="EndnoteTextChar">
    <w:name w:val="Endnote Text Char"/>
    <w:basedOn w:val="DefaultParagraphFont"/>
    <w:link w:val="EndnoteText"/>
    <w:uiPriority w:val="99"/>
    <w:rsid w:val="00D942C2"/>
  </w:style>
  <w:style w:type="character" w:styleId="EndnoteReference">
    <w:name w:val="endnote reference"/>
    <w:basedOn w:val="DefaultParagraphFont"/>
    <w:uiPriority w:val="99"/>
    <w:unhideWhenUsed/>
    <w:rsid w:val="00D942C2"/>
    <w:rPr>
      <w:vertAlign w:val="superscript"/>
    </w:rPr>
  </w:style>
  <w:style w:type="paragraph" w:styleId="TOCHeading">
    <w:name w:val="TOC Heading"/>
    <w:basedOn w:val="Heading1"/>
    <w:next w:val="Normal"/>
    <w:uiPriority w:val="39"/>
    <w:unhideWhenUsed/>
    <w:qFormat/>
    <w:rsid w:val="009C6976"/>
    <w:pPr>
      <w:spacing w:after="0" w:line="276" w:lineRule="auto"/>
      <w:outlineLvl w:val="9"/>
    </w:pPr>
    <w:rPr>
      <w:rFonts w:asciiTheme="majorHAnsi" w:eastAsiaTheme="majorEastAsia" w:hAnsiTheme="majorHAnsi" w:cstheme="majorBidi"/>
      <w:bCs/>
      <w:color w:val="2F5496" w:themeColor="accent1" w:themeShade="BF"/>
      <w:sz w:val="28"/>
      <w:szCs w:val="28"/>
    </w:rPr>
  </w:style>
  <w:style w:type="paragraph" w:styleId="TOC1">
    <w:name w:val="toc 1"/>
    <w:basedOn w:val="Normal"/>
    <w:next w:val="Normal"/>
    <w:autoRedefine/>
    <w:uiPriority w:val="39"/>
    <w:unhideWhenUsed/>
    <w:rsid w:val="006439E8"/>
    <w:pPr>
      <w:tabs>
        <w:tab w:val="right" w:pos="9350"/>
      </w:tabs>
      <w:spacing w:before="120"/>
    </w:pPr>
    <w:rPr>
      <w:rFonts w:ascii="Avenir Black" w:hAnsi="Avenir Black"/>
      <w:b/>
      <w:bCs/>
      <w:noProof/>
      <w:color w:val="91211B"/>
      <w:sz w:val="22"/>
      <w:szCs w:val="22"/>
    </w:rPr>
  </w:style>
  <w:style w:type="paragraph" w:styleId="TOC2">
    <w:name w:val="toc 2"/>
    <w:basedOn w:val="Normal"/>
    <w:next w:val="Normal"/>
    <w:autoRedefine/>
    <w:uiPriority w:val="39"/>
    <w:unhideWhenUsed/>
    <w:rsid w:val="009C6976"/>
    <w:pPr>
      <w:ind w:left="240"/>
    </w:pPr>
    <w:rPr>
      <w:rFonts w:asciiTheme="minorHAnsi" w:hAnsiTheme="minorHAnsi"/>
      <w:i/>
      <w:iCs/>
      <w:sz w:val="22"/>
      <w:szCs w:val="22"/>
    </w:rPr>
  </w:style>
  <w:style w:type="paragraph" w:styleId="TOC3">
    <w:name w:val="toc 3"/>
    <w:basedOn w:val="Normal"/>
    <w:next w:val="Normal"/>
    <w:autoRedefine/>
    <w:uiPriority w:val="39"/>
    <w:unhideWhenUsed/>
    <w:rsid w:val="009C6976"/>
    <w:pPr>
      <w:ind w:left="480"/>
    </w:pPr>
    <w:rPr>
      <w:rFonts w:asciiTheme="minorHAnsi" w:hAnsiTheme="minorHAnsi"/>
      <w:sz w:val="22"/>
      <w:szCs w:val="22"/>
    </w:rPr>
  </w:style>
  <w:style w:type="paragraph" w:styleId="TOC4">
    <w:name w:val="toc 4"/>
    <w:basedOn w:val="Normal"/>
    <w:next w:val="Normal"/>
    <w:autoRedefine/>
    <w:uiPriority w:val="39"/>
    <w:unhideWhenUsed/>
    <w:rsid w:val="009C6976"/>
    <w:pPr>
      <w:ind w:left="720"/>
    </w:pPr>
    <w:rPr>
      <w:rFonts w:asciiTheme="minorHAnsi" w:hAnsiTheme="minorHAnsi"/>
      <w:sz w:val="20"/>
      <w:szCs w:val="20"/>
    </w:rPr>
  </w:style>
  <w:style w:type="paragraph" w:styleId="TOC5">
    <w:name w:val="toc 5"/>
    <w:basedOn w:val="Normal"/>
    <w:next w:val="Normal"/>
    <w:autoRedefine/>
    <w:uiPriority w:val="39"/>
    <w:unhideWhenUsed/>
    <w:rsid w:val="009C6976"/>
    <w:pPr>
      <w:ind w:left="960"/>
    </w:pPr>
    <w:rPr>
      <w:rFonts w:asciiTheme="minorHAnsi" w:hAnsiTheme="minorHAnsi"/>
      <w:sz w:val="20"/>
      <w:szCs w:val="20"/>
    </w:rPr>
  </w:style>
  <w:style w:type="paragraph" w:styleId="TOC6">
    <w:name w:val="toc 6"/>
    <w:basedOn w:val="Normal"/>
    <w:next w:val="Normal"/>
    <w:autoRedefine/>
    <w:uiPriority w:val="39"/>
    <w:unhideWhenUsed/>
    <w:rsid w:val="009C6976"/>
    <w:pPr>
      <w:ind w:left="1200"/>
    </w:pPr>
    <w:rPr>
      <w:rFonts w:asciiTheme="minorHAnsi" w:hAnsiTheme="minorHAnsi"/>
      <w:sz w:val="20"/>
      <w:szCs w:val="20"/>
    </w:rPr>
  </w:style>
  <w:style w:type="paragraph" w:styleId="TOC7">
    <w:name w:val="toc 7"/>
    <w:basedOn w:val="Normal"/>
    <w:next w:val="Normal"/>
    <w:autoRedefine/>
    <w:uiPriority w:val="39"/>
    <w:unhideWhenUsed/>
    <w:rsid w:val="009C6976"/>
    <w:pPr>
      <w:ind w:left="1440"/>
    </w:pPr>
    <w:rPr>
      <w:rFonts w:asciiTheme="minorHAnsi" w:hAnsiTheme="minorHAnsi"/>
      <w:sz w:val="20"/>
      <w:szCs w:val="20"/>
    </w:rPr>
  </w:style>
  <w:style w:type="paragraph" w:styleId="TOC8">
    <w:name w:val="toc 8"/>
    <w:basedOn w:val="Normal"/>
    <w:next w:val="Normal"/>
    <w:autoRedefine/>
    <w:uiPriority w:val="39"/>
    <w:unhideWhenUsed/>
    <w:rsid w:val="009C6976"/>
    <w:pPr>
      <w:ind w:left="1680"/>
    </w:pPr>
    <w:rPr>
      <w:rFonts w:asciiTheme="minorHAnsi" w:hAnsiTheme="minorHAnsi"/>
      <w:sz w:val="20"/>
      <w:szCs w:val="20"/>
    </w:rPr>
  </w:style>
  <w:style w:type="paragraph" w:styleId="TOC9">
    <w:name w:val="toc 9"/>
    <w:basedOn w:val="Normal"/>
    <w:next w:val="Normal"/>
    <w:autoRedefine/>
    <w:uiPriority w:val="39"/>
    <w:unhideWhenUsed/>
    <w:rsid w:val="009C6976"/>
    <w:pPr>
      <w:ind w:left="1920"/>
    </w:pPr>
    <w:rPr>
      <w:rFonts w:asciiTheme="minorHAnsi" w:hAnsiTheme="minorHAnsi"/>
      <w:sz w:val="20"/>
      <w:szCs w:val="20"/>
    </w:rPr>
  </w:style>
  <w:style w:type="character" w:styleId="PageNumber">
    <w:name w:val="page number"/>
    <w:basedOn w:val="DefaultParagraphFont"/>
    <w:uiPriority w:val="99"/>
    <w:semiHidden/>
    <w:unhideWhenUsed/>
    <w:rsid w:val="00070738"/>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141608"/>
    <w:rPr>
      <w:b/>
      <w:bCs/>
    </w:rPr>
  </w:style>
  <w:style w:type="character" w:styleId="UnresolvedMention">
    <w:name w:val="Unresolved Mention"/>
    <w:basedOn w:val="DefaultParagraphFont"/>
    <w:uiPriority w:val="99"/>
    <w:semiHidden/>
    <w:unhideWhenUsed/>
    <w:rsid w:val="00FF658A"/>
    <w:rPr>
      <w:color w:val="605E5C"/>
      <w:shd w:val="clear" w:color="auto" w:fill="E1DFDD"/>
    </w:rPr>
  </w:style>
  <w:style w:type="character" w:styleId="FollowedHyperlink">
    <w:name w:val="FollowedHyperlink"/>
    <w:basedOn w:val="DefaultParagraphFont"/>
    <w:uiPriority w:val="99"/>
    <w:semiHidden/>
    <w:unhideWhenUsed/>
    <w:rsid w:val="00FF658A"/>
    <w:rPr>
      <w:color w:val="954F72" w:themeColor="followedHyperlink"/>
      <w:u w:val="single"/>
    </w:rPr>
  </w:style>
  <w:style w:type="paragraph" w:customStyle="1" w:styleId="Heading">
    <w:name w:val="Heading"/>
    <w:basedOn w:val="Heading1"/>
    <w:qFormat/>
    <w:rsid w:val="00827A91"/>
    <w:pPr>
      <w:jc w:val="center"/>
    </w:pPr>
    <w:rPr>
      <w:rFonts w:ascii="Oswald Regular" w:hAnsi="Oswald Regular"/>
      <w:bCs/>
      <w:color w:val="91221C"/>
      <w:sz w:val="64"/>
      <w:szCs w:val="64"/>
    </w:rPr>
  </w:style>
  <w:style w:type="paragraph" w:customStyle="1" w:styleId="NormalText">
    <w:name w:val="Normal Text"/>
    <w:basedOn w:val="Normal"/>
    <w:qFormat/>
    <w:rsid w:val="00DD1030"/>
    <w:pPr>
      <w:spacing w:line="360" w:lineRule="auto"/>
      <w:ind w:firstLine="720"/>
      <w:jc w:val="both"/>
    </w:pPr>
    <w:rPr>
      <w:rFonts w:ascii="Avenir Book" w:hAnsi="Avenir Book"/>
    </w:rPr>
  </w:style>
  <w:style w:type="paragraph" w:customStyle="1" w:styleId="FirstSentencePops">
    <w:name w:val="First Sentence Pops"/>
    <w:basedOn w:val="Normal"/>
    <w:qFormat/>
    <w:rsid w:val="00E475AC"/>
    <w:pPr>
      <w:spacing w:line="360" w:lineRule="auto"/>
      <w:ind w:firstLine="720"/>
      <w:jc w:val="both"/>
    </w:pPr>
    <w:rPr>
      <w:rFonts w:ascii="Avenir Black" w:hAnsi="Avenir Black"/>
      <w:color w:val="91211B"/>
    </w:rPr>
  </w:style>
  <w:style w:type="paragraph" w:customStyle="1" w:styleId="Head3">
    <w:name w:val="Head3"/>
    <w:basedOn w:val="Normal"/>
    <w:qFormat/>
    <w:rsid w:val="001161E1"/>
    <w:pPr>
      <w:spacing w:line="360" w:lineRule="auto"/>
    </w:pPr>
    <w:rPr>
      <w:rFonts w:ascii="Avenir Black Oblique" w:hAnsi="Avenir Black Oblique"/>
      <w:i/>
      <w:iCs/>
      <w:color w:val="91211B"/>
      <w:sz w:val="33"/>
      <w:szCs w:val="33"/>
    </w:rPr>
  </w:style>
  <w:style w:type="paragraph" w:customStyle="1" w:styleId="head4">
    <w:name w:val="head 4"/>
    <w:basedOn w:val="Heading4"/>
    <w:qFormat/>
    <w:rsid w:val="00533702"/>
    <w:pPr>
      <w:spacing w:after="120"/>
    </w:pPr>
    <w:rPr>
      <w:rFonts w:ascii="Avenir Black Oblique" w:hAnsi="Avenir Black Oblique"/>
      <w:bCs/>
      <w:i/>
      <w:iCs/>
      <w:color w:val="000000" w:themeColor="text1"/>
      <w:sz w:val="32"/>
      <w:szCs w:val="32"/>
    </w:rPr>
  </w:style>
  <w:style w:type="paragraph" w:customStyle="1" w:styleId="HEAD2">
    <w:name w:val="HEAD2"/>
    <w:basedOn w:val="Head3"/>
    <w:qFormat/>
    <w:rsid w:val="00B862A4"/>
    <w:rPr>
      <w:i w:val="0"/>
      <w:iCs w:val="0"/>
      <w:sz w:val="36"/>
      <w:szCs w:val="36"/>
    </w:rPr>
  </w:style>
  <w:style w:type="paragraph" w:customStyle="1" w:styleId="head6">
    <w:name w:val="head6"/>
    <w:basedOn w:val="head4"/>
    <w:qFormat/>
    <w:rsid w:val="00533702"/>
    <w:rPr>
      <w:rFonts w:ascii="Avenir Black" w:hAnsi="Avenir Black"/>
      <w:i w:val="0"/>
      <w:iCs w:val="0"/>
      <w:color w:val="91211B"/>
      <w:sz w:val="27"/>
      <w:szCs w:val="27"/>
    </w:rPr>
  </w:style>
  <w:style w:type="paragraph" w:customStyle="1" w:styleId="head5">
    <w:name w:val="head5"/>
    <w:basedOn w:val="head4"/>
    <w:qFormat/>
    <w:rsid w:val="00533702"/>
    <w:rPr>
      <w:rFonts w:ascii="Avenir Black" w:hAnsi="Avenir Black"/>
      <w:i w:val="0"/>
      <w:iCs w:val="0"/>
      <w:sz w:val="29"/>
      <w:szCs w:val="29"/>
    </w:rPr>
  </w:style>
  <w:style w:type="paragraph" w:customStyle="1" w:styleId="hrec">
    <w:name w:val="hrec"/>
    <w:basedOn w:val="head6"/>
    <w:qFormat/>
    <w:rsid w:val="00F044EA"/>
    <w:pPr>
      <w:spacing w:before="0"/>
    </w:pPr>
    <w:rPr>
      <w:b w:val="0"/>
      <w:bCs w:val="0"/>
      <w:color w:val="262626" w:themeColor="text1" w:themeTint="D9"/>
    </w:rPr>
  </w:style>
  <w:style w:type="paragraph" w:customStyle="1" w:styleId="haha">
    <w:name w:val="haha"/>
    <w:basedOn w:val="head6"/>
    <w:qFormat/>
    <w:rsid w:val="00F044EA"/>
    <w:pPr>
      <w:spacing w:before="0"/>
    </w:pPr>
    <w:rPr>
      <w:b w:val="0"/>
      <w:bCs w:val="0"/>
      <w:color w:val="262626" w:themeColor="text1" w:themeTint="D9"/>
      <w:sz w:val="26"/>
      <w:szCs w:val="26"/>
    </w:rPr>
  </w:style>
  <w:style w:type="paragraph" w:customStyle="1" w:styleId="Default">
    <w:name w:val="Default"/>
    <w:rsid w:val="00444FBC"/>
    <w:pPr>
      <w:autoSpaceDE w:val="0"/>
      <w:autoSpaceDN w:val="0"/>
      <w:adjustRightInd w:val="0"/>
      <w:spacing w:after="0" w:line="240" w:lineRule="auto"/>
    </w:pPr>
    <w:rPr>
      <w:rFonts w:ascii="Calibri Light" w:hAnsi="Calibri Light" w:cs="Calibri Ligh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42931">
      <w:bodyDiv w:val="1"/>
      <w:marLeft w:val="0"/>
      <w:marRight w:val="0"/>
      <w:marTop w:val="0"/>
      <w:marBottom w:val="0"/>
      <w:divBdr>
        <w:top w:val="none" w:sz="0" w:space="0" w:color="auto"/>
        <w:left w:val="none" w:sz="0" w:space="0" w:color="auto"/>
        <w:bottom w:val="none" w:sz="0" w:space="0" w:color="auto"/>
        <w:right w:val="none" w:sz="0" w:space="0" w:color="auto"/>
      </w:divBdr>
    </w:div>
    <w:div w:id="105387585">
      <w:bodyDiv w:val="1"/>
      <w:marLeft w:val="0"/>
      <w:marRight w:val="0"/>
      <w:marTop w:val="0"/>
      <w:marBottom w:val="0"/>
      <w:divBdr>
        <w:top w:val="none" w:sz="0" w:space="0" w:color="auto"/>
        <w:left w:val="none" w:sz="0" w:space="0" w:color="auto"/>
        <w:bottom w:val="none" w:sz="0" w:space="0" w:color="auto"/>
        <w:right w:val="none" w:sz="0" w:space="0" w:color="auto"/>
      </w:divBdr>
    </w:div>
    <w:div w:id="164902985">
      <w:bodyDiv w:val="1"/>
      <w:marLeft w:val="0"/>
      <w:marRight w:val="0"/>
      <w:marTop w:val="0"/>
      <w:marBottom w:val="0"/>
      <w:divBdr>
        <w:top w:val="none" w:sz="0" w:space="0" w:color="auto"/>
        <w:left w:val="none" w:sz="0" w:space="0" w:color="auto"/>
        <w:bottom w:val="none" w:sz="0" w:space="0" w:color="auto"/>
        <w:right w:val="none" w:sz="0" w:space="0" w:color="auto"/>
      </w:divBdr>
    </w:div>
    <w:div w:id="247351840">
      <w:bodyDiv w:val="1"/>
      <w:marLeft w:val="0"/>
      <w:marRight w:val="0"/>
      <w:marTop w:val="0"/>
      <w:marBottom w:val="0"/>
      <w:divBdr>
        <w:top w:val="none" w:sz="0" w:space="0" w:color="auto"/>
        <w:left w:val="none" w:sz="0" w:space="0" w:color="auto"/>
        <w:bottom w:val="none" w:sz="0" w:space="0" w:color="auto"/>
        <w:right w:val="none" w:sz="0" w:space="0" w:color="auto"/>
      </w:divBdr>
    </w:div>
    <w:div w:id="282344829">
      <w:bodyDiv w:val="1"/>
      <w:marLeft w:val="0"/>
      <w:marRight w:val="0"/>
      <w:marTop w:val="0"/>
      <w:marBottom w:val="0"/>
      <w:divBdr>
        <w:top w:val="none" w:sz="0" w:space="0" w:color="auto"/>
        <w:left w:val="none" w:sz="0" w:space="0" w:color="auto"/>
        <w:bottom w:val="none" w:sz="0" w:space="0" w:color="auto"/>
        <w:right w:val="none" w:sz="0" w:space="0" w:color="auto"/>
      </w:divBdr>
      <w:divsChild>
        <w:div w:id="554046816">
          <w:marLeft w:val="0"/>
          <w:marRight w:val="0"/>
          <w:marTop w:val="0"/>
          <w:marBottom w:val="0"/>
          <w:divBdr>
            <w:top w:val="none" w:sz="0" w:space="0" w:color="auto"/>
            <w:left w:val="none" w:sz="0" w:space="0" w:color="auto"/>
            <w:bottom w:val="none" w:sz="0" w:space="0" w:color="auto"/>
            <w:right w:val="none" w:sz="0" w:space="0" w:color="auto"/>
          </w:divBdr>
        </w:div>
      </w:divsChild>
    </w:div>
    <w:div w:id="329795630">
      <w:bodyDiv w:val="1"/>
      <w:marLeft w:val="0"/>
      <w:marRight w:val="0"/>
      <w:marTop w:val="0"/>
      <w:marBottom w:val="0"/>
      <w:divBdr>
        <w:top w:val="none" w:sz="0" w:space="0" w:color="auto"/>
        <w:left w:val="none" w:sz="0" w:space="0" w:color="auto"/>
        <w:bottom w:val="none" w:sz="0" w:space="0" w:color="auto"/>
        <w:right w:val="none" w:sz="0" w:space="0" w:color="auto"/>
      </w:divBdr>
    </w:div>
    <w:div w:id="368384937">
      <w:bodyDiv w:val="1"/>
      <w:marLeft w:val="0"/>
      <w:marRight w:val="0"/>
      <w:marTop w:val="0"/>
      <w:marBottom w:val="0"/>
      <w:divBdr>
        <w:top w:val="none" w:sz="0" w:space="0" w:color="auto"/>
        <w:left w:val="none" w:sz="0" w:space="0" w:color="auto"/>
        <w:bottom w:val="none" w:sz="0" w:space="0" w:color="auto"/>
        <w:right w:val="none" w:sz="0" w:space="0" w:color="auto"/>
      </w:divBdr>
    </w:div>
    <w:div w:id="429087261">
      <w:bodyDiv w:val="1"/>
      <w:marLeft w:val="0"/>
      <w:marRight w:val="0"/>
      <w:marTop w:val="0"/>
      <w:marBottom w:val="0"/>
      <w:divBdr>
        <w:top w:val="none" w:sz="0" w:space="0" w:color="auto"/>
        <w:left w:val="none" w:sz="0" w:space="0" w:color="auto"/>
        <w:bottom w:val="none" w:sz="0" w:space="0" w:color="auto"/>
        <w:right w:val="none" w:sz="0" w:space="0" w:color="auto"/>
      </w:divBdr>
      <w:divsChild>
        <w:div w:id="256210903">
          <w:marLeft w:val="0"/>
          <w:marRight w:val="0"/>
          <w:marTop w:val="0"/>
          <w:marBottom w:val="0"/>
          <w:divBdr>
            <w:top w:val="none" w:sz="0" w:space="0" w:color="auto"/>
            <w:left w:val="none" w:sz="0" w:space="0" w:color="auto"/>
            <w:bottom w:val="none" w:sz="0" w:space="0" w:color="auto"/>
            <w:right w:val="none" w:sz="0" w:space="0" w:color="auto"/>
          </w:divBdr>
        </w:div>
      </w:divsChild>
    </w:div>
    <w:div w:id="431708670">
      <w:bodyDiv w:val="1"/>
      <w:marLeft w:val="0"/>
      <w:marRight w:val="0"/>
      <w:marTop w:val="0"/>
      <w:marBottom w:val="0"/>
      <w:divBdr>
        <w:top w:val="none" w:sz="0" w:space="0" w:color="auto"/>
        <w:left w:val="none" w:sz="0" w:space="0" w:color="auto"/>
        <w:bottom w:val="none" w:sz="0" w:space="0" w:color="auto"/>
        <w:right w:val="none" w:sz="0" w:space="0" w:color="auto"/>
      </w:divBdr>
      <w:divsChild>
        <w:div w:id="1924727912">
          <w:marLeft w:val="0"/>
          <w:marRight w:val="0"/>
          <w:marTop w:val="0"/>
          <w:marBottom w:val="0"/>
          <w:divBdr>
            <w:top w:val="none" w:sz="0" w:space="0" w:color="auto"/>
            <w:left w:val="none" w:sz="0" w:space="0" w:color="auto"/>
            <w:bottom w:val="none" w:sz="0" w:space="0" w:color="auto"/>
            <w:right w:val="none" w:sz="0" w:space="0" w:color="auto"/>
          </w:divBdr>
        </w:div>
      </w:divsChild>
    </w:div>
    <w:div w:id="735397665">
      <w:bodyDiv w:val="1"/>
      <w:marLeft w:val="0"/>
      <w:marRight w:val="0"/>
      <w:marTop w:val="0"/>
      <w:marBottom w:val="0"/>
      <w:divBdr>
        <w:top w:val="none" w:sz="0" w:space="0" w:color="auto"/>
        <w:left w:val="none" w:sz="0" w:space="0" w:color="auto"/>
        <w:bottom w:val="none" w:sz="0" w:space="0" w:color="auto"/>
        <w:right w:val="none" w:sz="0" w:space="0" w:color="auto"/>
      </w:divBdr>
    </w:div>
    <w:div w:id="991761022">
      <w:bodyDiv w:val="1"/>
      <w:marLeft w:val="0"/>
      <w:marRight w:val="0"/>
      <w:marTop w:val="0"/>
      <w:marBottom w:val="0"/>
      <w:divBdr>
        <w:top w:val="none" w:sz="0" w:space="0" w:color="auto"/>
        <w:left w:val="none" w:sz="0" w:space="0" w:color="auto"/>
        <w:bottom w:val="none" w:sz="0" w:space="0" w:color="auto"/>
        <w:right w:val="none" w:sz="0" w:space="0" w:color="auto"/>
      </w:divBdr>
    </w:div>
    <w:div w:id="1008482524">
      <w:bodyDiv w:val="1"/>
      <w:marLeft w:val="0"/>
      <w:marRight w:val="0"/>
      <w:marTop w:val="0"/>
      <w:marBottom w:val="0"/>
      <w:divBdr>
        <w:top w:val="none" w:sz="0" w:space="0" w:color="auto"/>
        <w:left w:val="none" w:sz="0" w:space="0" w:color="auto"/>
        <w:bottom w:val="none" w:sz="0" w:space="0" w:color="auto"/>
        <w:right w:val="none" w:sz="0" w:space="0" w:color="auto"/>
      </w:divBdr>
    </w:div>
    <w:div w:id="1086459519">
      <w:bodyDiv w:val="1"/>
      <w:marLeft w:val="0"/>
      <w:marRight w:val="0"/>
      <w:marTop w:val="0"/>
      <w:marBottom w:val="0"/>
      <w:divBdr>
        <w:top w:val="none" w:sz="0" w:space="0" w:color="auto"/>
        <w:left w:val="none" w:sz="0" w:space="0" w:color="auto"/>
        <w:bottom w:val="none" w:sz="0" w:space="0" w:color="auto"/>
        <w:right w:val="none" w:sz="0" w:space="0" w:color="auto"/>
      </w:divBdr>
      <w:divsChild>
        <w:div w:id="603925082">
          <w:marLeft w:val="0"/>
          <w:marRight w:val="0"/>
          <w:marTop w:val="0"/>
          <w:marBottom w:val="0"/>
          <w:divBdr>
            <w:top w:val="none" w:sz="0" w:space="0" w:color="auto"/>
            <w:left w:val="none" w:sz="0" w:space="0" w:color="auto"/>
            <w:bottom w:val="none" w:sz="0" w:space="0" w:color="auto"/>
            <w:right w:val="none" w:sz="0" w:space="0" w:color="auto"/>
          </w:divBdr>
        </w:div>
      </w:divsChild>
    </w:div>
    <w:div w:id="1095633073">
      <w:bodyDiv w:val="1"/>
      <w:marLeft w:val="0"/>
      <w:marRight w:val="0"/>
      <w:marTop w:val="0"/>
      <w:marBottom w:val="0"/>
      <w:divBdr>
        <w:top w:val="none" w:sz="0" w:space="0" w:color="auto"/>
        <w:left w:val="none" w:sz="0" w:space="0" w:color="auto"/>
        <w:bottom w:val="none" w:sz="0" w:space="0" w:color="auto"/>
        <w:right w:val="none" w:sz="0" w:space="0" w:color="auto"/>
      </w:divBdr>
      <w:divsChild>
        <w:div w:id="129062096">
          <w:marLeft w:val="0"/>
          <w:marRight w:val="0"/>
          <w:marTop w:val="0"/>
          <w:marBottom w:val="0"/>
          <w:divBdr>
            <w:top w:val="none" w:sz="0" w:space="0" w:color="auto"/>
            <w:left w:val="none" w:sz="0" w:space="0" w:color="auto"/>
            <w:bottom w:val="none" w:sz="0" w:space="0" w:color="auto"/>
            <w:right w:val="none" w:sz="0" w:space="0" w:color="auto"/>
          </w:divBdr>
          <w:divsChild>
            <w:div w:id="534773913">
              <w:marLeft w:val="0"/>
              <w:marRight w:val="0"/>
              <w:marTop w:val="0"/>
              <w:marBottom w:val="0"/>
              <w:divBdr>
                <w:top w:val="none" w:sz="0" w:space="0" w:color="auto"/>
                <w:left w:val="none" w:sz="0" w:space="0" w:color="auto"/>
                <w:bottom w:val="none" w:sz="0" w:space="0" w:color="auto"/>
                <w:right w:val="none" w:sz="0" w:space="0" w:color="auto"/>
              </w:divBdr>
            </w:div>
          </w:divsChild>
        </w:div>
        <w:div w:id="235553295">
          <w:marLeft w:val="0"/>
          <w:marRight w:val="0"/>
          <w:marTop w:val="0"/>
          <w:marBottom w:val="0"/>
          <w:divBdr>
            <w:top w:val="none" w:sz="0" w:space="0" w:color="auto"/>
            <w:left w:val="none" w:sz="0" w:space="0" w:color="auto"/>
            <w:bottom w:val="none" w:sz="0" w:space="0" w:color="auto"/>
            <w:right w:val="none" w:sz="0" w:space="0" w:color="auto"/>
          </w:divBdr>
          <w:divsChild>
            <w:div w:id="1842088037">
              <w:marLeft w:val="0"/>
              <w:marRight w:val="0"/>
              <w:marTop w:val="0"/>
              <w:marBottom w:val="0"/>
              <w:divBdr>
                <w:top w:val="none" w:sz="0" w:space="0" w:color="auto"/>
                <w:left w:val="none" w:sz="0" w:space="0" w:color="auto"/>
                <w:bottom w:val="none" w:sz="0" w:space="0" w:color="auto"/>
                <w:right w:val="none" w:sz="0" w:space="0" w:color="auto"/>
              </w:divBdr>
            </w:div>
          </w:divsChild>
        </w:div>
        <w:div w:id="237059762">
          <w:marLeft w:val="0"/>
          <w:marRight w:val="0"/>
          <w:marTop w:val="0"/>
          <w:marBottom w:val="0"/>
          <w:divBdr>
            <w:top w:val="none" w:sz="0" w:space="0" w:color="auto"/>
            <w:left w:val="none" w:sz="0" w:space="0" w:color="auto"/>
            <w:bottom w:val="none" w:sz="0" w:space="0" w:color="auto"/>
            <w:right w:val="none" w:sz="0" w:space="0" w:color="auto"/>
          </w:divBdr>
          <w:divsChild>
            <w:div w:id="1688367302">
              <w:marLeft w:val="0"/>
              <w:marRight w:val="0"/>
              <w:marTop w:val="0"/>
              <w:marBottom w:val="0"/>
              <w:divBdr>
                <w:top w:val="none" w:sz="0" w:space="0" w:color="auto"/>
                <w:left w:val="none" w:sz="0" w:space="0" w:color="auto"/>
                <w:bottom w:val="none" w:sz="0" w:space="0" w:color="auto"/>
                <w:right w:val="none" w:sz="0" w:space="0" w:color="auto"/>
              </w:divBdr>
            </w:div>
          </w:divsChild>
        </w:div>
        <w:div w:id="377969668">
          <w:marLeft w:val="0"/>
          <w:marRight w:val="0"/>
          <w:marTop w:val="0"/>
          <w:marBottom w:val="0"/>
          <w:divBdr>
            <w:top w:val="none" w:sz="0" w:space="0" w:color="auto"/>
            <w:left w:val="none" w:sz="0" w:space="0" w:color="auto"/>
            <w:bottom w:val="none" w:sz="0" w:space="0" w:color="auto"/>
            <w:right w:val="none" w:sz="0" w:space="0" w:color="auto"/>
          </w:divBdr>
          <w:divsChild>
            <w:div w:id="1872450076">
              <w:marLeft w:val="0"/>
              <w:marRight w:val="0"/>
              <w:marTop w:val="0"/>
              <w:marBottom w:val="0"/>
              <w:divBdr>
                <w:top w:val="none" w:sz="0" w:space="0" w:color="auto"/>
                <w:left w:val="none" w:sz="0" w:space="0" w:color="auto"/>
                <w:bottom w:val="none" w:sz="0" w:space="0" w:color="auto"/>
                <w:right w:val="none" w:sz="0" w:space="0" w:color="auto"/>
              </w:divBdr>
            </w:div>
          </w:divsChild>
        </w:div>
        <w:div w:id="1003707570">
          <w:marLeft w:val="0"/>
          <w:marRight w:val="0"/>
          <w:marTop w:val="0"/>
          <w:marBottom w:val="0"/>
          <w:divBdr>
            <w:top w:val="none" w:sz="0" w:space="0" w:color="auto"/>
            <w:left w:val="none" w:sz="0" w:space="0" w:color="auto"/>
            <w:bottom w:val="none" w:sz="0" w:space="0" w:color="auto"/>
            <w:right w:val="none" w:sz="0" w:space="0" w:color="auto"/>
          </w:divBdr>
          <w:divsChild>
            <w:div w:id="1220554924">
              <w:marLeft w:val="0"/>
              <w:marRight w:val="0"/>
              <w:marTop w:val="0"/>
              <w:marBottom w:val="0"/>
              <w:divBdr>
                <w:top w:val="none" w:sz="0" w:space="0" w:color="auto"/>
                <w:left w:val="none" w:sz="0" w:space="0" w:color="auto"/>
                <w:bottom w:val="none" w:sz="0" w:space="0" w:color="auto"/>
                <w:right w:val="none" w:sz="0" w:space="0" w:color="auto"/>
              </w:divBdr>
            </w:div>
          </w:divsChild>
        </w:div>
        <w:div w:id="1247035356">
          <w:marLeft w:val="0"/>
          <w:marRight w:val="0"/>
          <w:marTop w:val="0"/>
          <w:marBottom w:val="0"/>
          <w:divBdr>
            <w:top w:val="none" w:sz="0" w:space="0" w:color="auto"/>
            <w:left w:val="none" w:sz="0" w:space="0" w:color="auto"/>
            <w:bottom w:val="none" w:sz="0" w:space="0" w:color="auto"/>
            <w:right w:val="none" w:sz="0" w:space="0" w:color="auto"/>
          </w:divBdr>
          <w:divsChild>
            <w:div w:id="8551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2815">
      <w:bodyDiv w:val="1"/>
      <w:marLeft w:val="0"/>
      <w:marRight w:val="0"/>
      <w:marTop w:val="0"/>
      <w:marBottom w:val="0"/>
      <w:divBdr>
        <w:top w:val="none" w:sz="0" w:space="0" w:color="auto"/>
        <w:left w:val="none" w:sz="0" w:space="0" w:color="auto"/>
        <w:bottom w:val="none" w:sz="0" w:space="0" w:color="auto"/>
        <w:right w:val="none" w:sz="0" w:space="0" w:color="auto"/>
      </w:divBdr>
    </w:div>
    <w:div w:id="1142968074">
      <w:bodyDiv w:val="1"/>
      <w:marLeft w:val="0"/>
      <w:marRight w:val="0"/>
      <w:marTop w:val="0"/>
      <w:marBottom w:val="0"/>
      <w:divBdr>
        <w:top w:val="none" w:sz="0" w:space="0" w:color="auto"/>
        <w:left w:val="none" w:sz="0" w:space="0" w:color="auto"/>
        <w:bottom w:val="none" w:sz="0" w:space="0" w:color="auto"/>
        <w:right w:val="none" w:sz="0" w:space="0" w:color="auto"/>
      </w:divBdr>
      <w:divsChild>
        <w:div w:id="306595892">
          <w:marLeft w:val="0"/>
          <w:marRight w:val="0"/>
          <w:marTop w:val="0"/>
          <w:marBottom w:val="0"/>
          <w:divBdr>
            <w:top w:val="none" w:sz="0" w:space="0" w:color="auto"/>
            <w:left w:val="none" w:sz="0" w:space="0" w:color="auto"/>
            <w:bottom w:val="none" w:sz="0" w:space="0" w:color="auto"/>
            <w:right w:val="none" w:sz="0" w:space="0" w:color="auto"/>
          </w:divBdr>
          <w:divsChild>
            <w:div w:id="1716854620">
              <w:marLeft w:val="0"/>
              <w:marRight w:val="0"/>
              <w:marTop w:val="0"/>
              <w:marBottom w:val="0"/>
              <w:divBdr>
                <w:top w:val="none" w:sz="0" w:space="0" w:color="auto"/>
                <w:left w:val="none" w:sz="0" w:space="0" w:color="auto"/>
                <w:bottom w:val="none" w:sz="0" w:space="0" w:color="auto"/>
                <w:right w:val="none" w:sz="0" w:space="0" w:color="auto"/>
              </w:divBdr>
            </w:div>
          </w:divsChild>
        </w:div>
        <w:div w:id="435255022">
          <w:marLeft w:val="0"/>
          <w:marRight w:val="0"/>
          <w:marTop w:val="0"/>
          <w:marBottom w:val="0"/>
          <w:divBdr>
            <w:top w:val="none" w:sz="0" w:space="0" w:color="auto"/>
            <w:left w:val="none" w:sz="0" w:space="0" w:color="auto"/>
            <w:bottom w:val="none" w:sz="0" w:space="0" w:color="auto"/>
            <w:right w:val="none" w:sz="0" w:space="0" w:color="auto"/>
          </w:divBdr>
          <w:divsChild>
            <w:div w:id="566764844">
              <w:marLeft w:val="0"/>
              <w:marRight w:val="0"/>
              <w:marTop w:val="0"/>
              <w:marBottom w:val="0"/>
              <w:divBdr>
                <w:top w:val="none" w:sz="0" w:space="0" w:color="auto"/>
                <w:left w:val="none" w:sz="0" w:space="0" w:color="auto"/>
                <w:bottom w:val="none" w:sz="0" w:space="0" w:color="auto"/>
                <w:right w:val="none" w:sz="0" w:space="0" w:color="auto"/>
              </w:divBdr>
            </w:div>
          </w:divsChild>
        </w:div>
        <w:div w:id="867180373">
          <w:marLeft w:val="0"/>
          <w:marRight w:val="0"/>
          <w:marTop w:val="0"/>
          <w:marBottom w:val="0"/>
          <w:divBdr>
            <w:top w:val="none" w:sz="0" w:space="0" w:color="auto"/>
            <w:left w:val="none" w:sz="0" w:space="0" w:color="auto"/>
            <w:bottom w:val="none" w:sz="0" w:space="0" w:color="auto"/>
            <w:right w:val="none" w:sz="0" w:space="0" w:color="auto"/>
          </w:divBdr>
          <w:divsChild>
            <w:div w:id="301663757">
              <w:marLeft w:val="0"/>
              <w:marRight w:val="0"/>
              <w:marTop w:val="0"/>
              <w:marBottom w:val="0"/>
              <w:divBdr>
                <w:top w:val="none" w:sz="0" w:space="0" w:color="auto"/>
                <w:left w:val="none" w:sz="0" w:space="0" w:color="auto"/>
                <w:bottom w:val="none" w:sz="0" w:space="0" w:color="auto"/>
                <w:right w:val="none" w:sz="0" w:space="0" w:color="auto"/>
              </w:divBdr>
            </w:div>
          </w:divsChild>
        </w:div>
        <w:div w:id="1242368330">
          <w:marLeft w:val="0"/>
          <w:marRight w:val="0"/>
          <w:marTop w:val="0"/>
          <w:marBottom w:val="0"/>
          <w:divBdr>
            <w:top w:val="none" w:sz="0" w:space="0" w:color="auto"/>
            <w:left w:val="none" w:sz="0" w:space="0" w:color="auto"/>
            <w:bottom w:val="none" w:sz="0" w:space="0" w:color="auto"/>
            <w:right w:val="none" w:sz="0" w:space="0" w:color="auto"/>
          </w:divBdr>
          <w:divsChild>
            <w:div w:id="136535996">
              <w:marLeft w:val="0"/>
              <w:marRight w:val="0"/>
              <w:marTop w:val="0"/>
              <w:marBottom w:val="0"/>
              <w:divBdr>
                <w:top w:val="none" w:sz="0" w:space="0" w:color="auto"/>
                <w:left w:val="none" w:sz="0" w:space="0" w:color="auto"/>
                <w:bottom w:val="none" w:sz="0" w:space="0" w:color="auto"/>
                <w:right w:val="none" w:sz="0" w:space="0" w:color="auto"/>
              </w:divBdr>
            </w:div>
          </w:divsChild>
        </w:div>
        <w:div w:id="1266384651">
          <w:marLeft w:val="0"/>
          <w:marRight w:val="0"/>
          <w:marTop w:val="0"/>
          <w:marBottom w:val="0"/>
          <w:divBdr>
            <w:top w:val="none" w:sz="0" w:space="0" w:color="auto"/>
            <w:left w:val="none" w:sz="0" w:space="0" w:color="auto"/>
            <w:bottom w:val="none" w:sz="0" w:space="0" w:color="auto"/>
            <w:right w:val="none" w:sz="0" w:space="0" w:color="auto"/>
          </w:divBdr>
          <w:divsChild>
            <w:div w:id="2051176341">
              <w:marLeft w:val="0"/>
              <w:marRight w:val="0"/>
              <w:marTop w:val="0"/>
              <w:marBottom w:val="0"/>
              <w:divBdr>
                <w:top w:val="none" w:sz="0" w:space="0" w:color="auto"/>
                <w:left w:val="none" w:sz="0" w:space="0" w:color="auto"/>
                <w:bottom w:val="none" w:sz="0" w:space="0" w:color="auto"/>
                <w:right w:val="none" w:sz="0" w:space="0" w:color="auto"/>
              </w:divBdr>
            </w:div>
          </w:divsChild>
        </w:div>
        <w:div w:id="1320502233">
          <w:marLeft w:val="0"/>
          <w:marRight w:val="0"/>
          <w:marTop w:val="0"/>
          <w:marBottom w:val="0"/>
          <w:divBdr>
            <w:top w:val="none" w:sz="0" w:space="0" w:color="auto"/>
            <w:left w:val="none" w:sz="0" w:space="0" w:color="auto"/>
            <w:bottom w:val="none" w:sz="0" w:space="0" w:color="auto"/>
            <w:right w:val="none" w:sz="0" w:space="0" w:color="auto"/>
          </w:divBdr>
          <w:divsChild>
            <w:div w:id="1763992752">
              <w:marLeft w:val="0"/>
              <w:marRight w:val="0"/>
              <w:marTop w:val="0"/>
              <w:marBottom w:val="0"/>
              <w:divBdr>
                <w:top w:val="none" w:sz="0" w:space="0" w:color="auto"/>
                <w:left w:val="none" w:sz="0" w:space="0" w:color="auto"/>
                <w:bottom w:val="none" w:sz="0" w:space="0" w:color="auto"/>
                <w:right w:val="none" w:sz="0" w:space="0" w:color="auto"/>
              </w:divBdr>
            </w:div>
          </w:divsChild>
        </w:div>
        <w:div w:id="1668361026">
          <w:marLeft w:val="0"/>
          <w:marRight w:val="0"/>
          <w:marTop w:val="0"/>
          <w:marBottom w:val="0"/>
          <w:divBdr>
            <w:top w:val="none" w:sz="0" w:space="0" w:color="auto"/>
            <w:left w:val="none" w:sz="0" w:space="0" w:color="auto"/>
            <w:bottom w:val="none" w:sz="0" w:space="0" w:color="auto"/>
            <w:right w:val="none" w:sz="0" w:space="0" w:color="auto"/>
          </w:divBdr>
          <w:divsChild>
            <w:div w:id="51808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88848">
      <w:bodyDiv w:val="1"/>
      <w:marLeft w:val="0"/>
      <w:marRight w:val="0"/>
      <w:marTop w:val="0"/>
      <w:marBottom w:val="0"/>
      <w:divBdr>
        <w:top w:val="none" w:sz="0" w:space="0" w:color="auto"/>
        <w:left w:val="none" w:sz="0" w:space="0" w:color="auto"/>
        <w:bottom w:val="none" w:sz="0" w:space="0" w:color="auto"/>
        <w:right w:val="none" w:sz="0" w:space="0" w:color="auto"/>
      </w:divBdr>
    </w:div>
    <w:div w:id="1192263518">
      <w:bodyDiv w:val="1"/>
      <w:marLeft w:val="0"/>
      <w:marRight w:val="0"/>
      <w:marTop w:val="0"/>
      <w:marBottom w:val="0"/>
      <w:divBdr>
        <w:top w:val="none" w:sz="0" w:space="0" w:color="auto"/>
        <w:left w:val="none" w:sz="0" w:space="0" w:color="auto"/>
        <w:bottom w:val="none" w:sz="0" w:space="0" w:color="auto"/>
        <w:right w:val="none" w:sz="0" w:space="0" w:color="auto"/>
      </w:divBdr>
    </w:div>
    <w:div w:id="1232276997">
      <w:bodyDiv w:val="1"/>
      <w:marLeft w:val="0"/>
      <w:marRight w:val="0"/>
      <w:marTop w:val="0"/>
      <w:marBottom w:val="0"/>
      <w:divBdr>
        <w:top w:val="none" w:sz="0" w:space="0" w:color="auto"/>
        <w:left w:val="none" w:sz="0" w:space="0" w:color="auto"/>
        <w:bottom w:val="none" w:sz="0" w:space="0" w:color="auto"/>
        <w:right w:val="none" w:sz="0" w:space="0" w:color="auto"/>
      </w:divBdr>
    </w:div>
    <w:div w:id="1254431790">
      <w:bodyDiv w:val="1"/>
      <w:marLeft w:val="0"/>
      <w:marRight w:val="0"/>
      <w:marTop w:val="0"/>
      <w:marBottom w:val="0"/>
      <w:divBdr>
        <w:top w:val="none" w:sz="0" w:space="0" w:color="auto"/>
        <w:left w:val="none" w:sz="0" w:space="0" w:color="auto"/>
        <w:bottom w:val="none" w:sz="0" w:space="0" w:color="auto"/>
        <w:right w:val="none" w:sz="0" w:space="0" w:color="auto"/>
      </w:divBdr>
      <w:divsChild>
        <w:div w:id="650718083">
          <w:marLeft w:val="0"/>
          <w:marRight w:val="0"/>
          <w:marTop w:val="0"/>
          <w:marBottom w:val="0"/>
          <w:divBdr>
            <w:top w:val="none" w:sz="0" w:space="0" w:color="auto"/>
            <w:left w:val="none" w:sz="0" w:space="0" w:color="auto"/>
            <w:bottom w:val="none" w:sz="0" w:space="0" w:color="auto"/>
            <w:right w:val="none" w:sz="0" w:space="0" w:color="auto"/>
          </w:divBdr>
        </w:div>
      </w:divsChild>
    </w:div>
    <w:div w:id="1312252411">
      <w:bodyDiv w:val="1"/>
      <w:marLeft w:val="0"/>
      <w:marRight w:val="0"/>
      <w:marTop w:val="0"/>
      <w:marBottom w:val="0"/>
      <w:divBdr>
        <w:top w:val="none" w:sz="0" w:space="0" w:color="auto"/>
        <w:left w:val="none" w:sz="0" w:space="0" w:color="auto"/>
        <w:bottom w:val="none" w:sz="0" w:space="0" w:color="auto"/>
        <w:right w:val="none" w:sz="0" w:space="0" w:color="auto"/>
      </w:divBdr>
    </w:div>
    <w:div w:id="1346395791">
      <w:bodyDiv w:val="1"/>
      <w:marLeft w:val="0"/>
      <w:marRight w:val="0"/>
      <w:marTop w:val="0"/>
      <w:marBottom w:val="0"/>
      <w:divBdr>
        <w:top w:val="none" w:sz="0" w:space="0" w:color="auto"/>
        <w:left w:val="none" w:sz="0" w:space="0" w:color="auto"/>
        <w:bottom w:val="none" w:sz="0" w:space="0" w:color="auto"/>
        <w:right w:val="none" w:sz="0" w:space="0" w:color="auto"/>
      </w:divBdr>
    </w:div>
    <w:div w:id="1386030150">
      <w:bodyDiv w:val="1"/>
      <w:marLeft w:val="0"/>
      <w:marRight w:val="0"/>
      <w:marTop w:val="0"/>
      <w:marBottom w:val="0"/>
      <w:divBdr>
        <w:top w:val="none" w:sz="0" w:space="0" w:color="auto"/>
        <w:left w:val="none" w:sz="0" w:space="0" w:color="auto"/>
        <w:bottom w:val="none" w:sz="0" w:space="0" w:color="auto"/>
        <w:right w:val="none" w:sz="0" w:space="0" w:color="auto"/>
      </w:divBdr>
    </w:div>
    <w:div w:id="1539900216">
      <w:bodyDiv w:val="1"/>
      <w:marLeft w:val="0"/>
      <w:marRight w:val="0"/>
      <w:marTop w:val="0"/>
      <w:marBottom w:val="0"/>
      <w:divBdr>
        <w:top w:val="none" w:sz="0" w:space="0" w:color="auto"/>
        <w:left w:val="none" w:sz="0" w:space="0" w:color="auto"/>
        <w:bottom w:val="none" w:sz="0" w:space="0" w:color="auto"/>
        <w:right w:val="none" w:sz="0" w:space="0" w:color="auto"/>
      </w:divBdr>
      <w:divsChild>
        <w:div w:id="542403801">
          <w:marLeft w:val="0"/>
          <w:marRight w:val="0"/>
          <w:marTop w:val="0"/>
          <w:marBottom w:val="0"/>
          <w:divBdr>
            <w:top w:val="none" w:sz="0" w:space="0" w:color="auto"/>
            <w:left w:val="none" w:sz="0" w:space="0" w:color="auto"/>
            <w:bottom w:val="none" w:sz="0" w:space="0" w:color="auto"/>
            <w:right w:val="none" w:sz="0" w:space="0" w:color="auto"/>
          </w:divBdr>
        </w:div>
      </w:divsChild>
    </w:div>
    <w:div w:id="1551919798">
      <w:bodyDiv w:val="1"/>
      <w:marLeft w:val="0"/>
      <w:marRight w:val="0"/>
      <w:marTop w:val="0"/>
      <w:marBottom w:val="0"/>
      <w:divBdr>
        <w:top w:val="none" w:sz="0" w:space="0" w:color="auto"/>
        <w:left w:val="none" w:sz="0" w:space="0" w:color="auto"/>
        <w:bottom w:val="none" w:sz="0" w:space="0" w:color="auto"/>
        <w:right w:val="none" w:sz="0" w:space="0" w:color="auto"/>
      </w:divBdr>
    </w:div>
    <w:div w:id="1552692092">
      <w:bodyDiv w:val="1"/>
      <w:marLeft w:val="0"/>
      <w:marRight w:val="0"/>
      <w:marTop w:val="0"/>
      <w:marBottom w:val="0"/>
      <w:divBdr>
        <w:top w:val="none" w:sz="0" w:space="0" w:color="auto"/>
        <w:left w:val="none" w:sz="0" w:space="0" w:color="auto"/>
        <w:bottom w:val="none" w:sz="0" w:space="0" w:color="auto"/>
        <w:right w:val="none" w:sz="0" w:space="0" w:color="auto"/>
      </w:divBdr>
      <w:divsChild>
        <w:div w:id="1012149096">
          <w:marLeft w:val="0"/>
          <w:marRight w:val="0"/>
          <w:marTop w:val="0"/>
          <w:marBottom w:val="0"/>
          <w:divBdr>
            <w:top w:val="none" w:sz="0" w:space="0" w:color="auto"/>
            <w:left w:val="none" w:sz="0" w:space="0" w:color="auto"/>
            <w:bottom w:val="none" w:sz="0" w:space="0" w:color="auto"/>
            <w:right w:val="none" w:sz="0" w:space="0" w:color="auto"/>
          </w:divBdr>
          <w:divsChild>
            <w:div w:id="1251891004">
              <w:marLeft w:val="0"/>
              <w:marRight w:val="0"/>
              <w:marTop w:val="0"/>
              <w:marBottom w:val="0"/>
              <w:divBdr>
                <w:top w:val="none" w:sz="0" w:space="0" w:color="auto"/>
                <w:left w:val="none" w:sz="0" w:space="0" w:color="auto"/>
                <w:bottom w:val="none" w:sz="0" w:space="0" w:color="auto"/>
                <w:right w:val="none" w:sz="0" w:space="0" w:color="auto"/>
              </w:divBdr>
            </w:div>
          </w:divsChild>
        </w:div>
        <w:div w:id="1148013441">
          <w:marLeft w:val="0"/>
          <w:marRight w:val="0"/>
          <w:marTop w:val="0"/>
          <w:marBottom w:val="0"/>
          <w:divBdr>
            <w:top w:val="none" w:sz="0" w:space="0" w:color="auto"/>
            <w:left w:val="none" w:sz="0" w:space="0" w:color="auto"/>
            <w:bottom w:val="none" w:sz="0" w:space="0" w:color="auto"/>
            <w:right w:val="none" w:sz="0" w:space="0" w:color="auto"/>
          </w:divBdr>
          <w:divsChild>
            <w:div w:id="952982383">
              <w:marLeft w:val="0"/>
              <w:marRight w:val="0"/>
              <w:marTop w:val="0"/>
              <w:marBottom w:val="0"/>
              <w:divBdr>
                <w:top w:val="none" w:sz="0" w:space="0" w:color="auto"/>
                <w:left w:val="none" w:sz="0" w:space="0" w:color="auto"/>
                <w:bottom w:val="none" w:sz="0" w:space="0" w:color="auto"/>
                <w:right w:val="none" w:sz="0" w:space="0" w:color="auto"/>
              </w:divBdr>
            </w:div>
          </w:divsChild>
        </w:div>
        <w:div w:id="1287009403">
          <w:marLeft w:val="0"/>
          <w:marRight w:val="0"/>
          <w:marTop w:val="0"/>
          <w:marBottom w:val="0"/>
          <w:divBdr>
            <w:top w:val="none" w:sz="0" w:space="0" w:color="auto"/>
            <w:left w:val="none" w:sz="0" w:space="0" w:color="auto"/>
            <w:bottom w:val="none" w:sz="0" w:space="0" w:color="auto"/>
            <w:right w:val="none" w:sz="0" w:space="0" w:color="auto"/>
          </w:divBdr>
        </w:div>
        <w:div w:id="1418671344">
          <w:marLeft w:val="0"/>
          <w:marRight w:val="0"/>
          <w:marTop w:val="0"/>
          <w:marBottom w:val="0"/>
          <w:divBdr>
            <w:top w:val="none" w:sz="0" w:space="0" w:color="auto"/>
            <w:left w:val="none" w:sz="0" w:space="0" w:color="auto"/>
            <w:bottom w:val="none" w:sz="0" w:space="0" w:color="auto"/>
            <w:right w:val="none" w:sz="0" w:space="0" w:color="auto"/>
          </w:divBdr>
          <w:divsChild>
            <w:div w:id="1043096402">
              <w:marLeft w:val="0"/>
              <w:marRight w:val="0"/>
              <w:marTop w:val="0"/>
              <w:marBottom w:val="0"/>
              <w:divBdr>
                <w:top w:val="none" w:sz="0" w:space="0" w:color="auto"/>
                <w:left w:val="none" w:sz="0" w:space="0" w:color="auto"/>
                <w:bottom w:val="none" w:sz="0" w:space="0" w:color="auto"/>
                <w:right w:val="none" w:sz="0" w:space="0" w:color="auto"/>
              </w:divBdr>
            </w:div>
          </w:divsChild>
        </w:div>
        <w:div w:id="1607692928">
          <w:marLeft w:val="0"/>
          <w:marRight w:val="0"/>
          <w:marTop w:val="0"/>
          <w:marBottom w:val="0"/>
          <w:divBdr>
            <w:top w:val="none" w:sz="0" w:space="0" w:color="auto"/>
            <w:left w:val="none" w:sz="0" w:space="0" w:color="auto"/>
            <w:bottom w:val="none" w:sz="0" w:space="0" w:color="auto"/>
            <w:right w:val="none" w:sz="0" w:space="0" w:color="auto"/>
          </w:divBdr>
          <w:divsChild>
            <w:div w:id="474838744">
              <w:marLeft w:val="0"/>
              <w:marRight w:val="0"/>
              <w:marTop w:val="0"/>
              <w:marBottom w:val="0"/>
              <w:divBdr>
                <w:top w:val="none" w:sz="0" w:space="0" w:color="auto"/>
                <w:left w:val="none" w:sz="0" w:space="0" w:color="auto"/>
                <w:bottom w:val="none" w:sz="0" w:space="0" w:color="auto"/>
                <w:right w:val="none" w:sz="0" w:space="0" w:color="auto"/>
              </w:divBdr>
            </w:div>
          </w:divsChild>
        </w:div>
        <w:div w:id="1933320833">
          <w:marLeft w:val="0"/>
          <w:marRight w:val="0"/>
          <w:marTop w:val="0"/>
          <w:marBottom w:val="0"/>
          <w:divBdr>
            <w:top w:val="none" w:sz="0" w:space="0" w:color="auto"/>
            <w:left w:val="none" w:sz="0" w:space="0" w:color="auto"/>
            <w:bottom w:val="none" w:sz="0" w:space="0" w:color="auto"/>
            <w:right w:val="none" w:sz="0" w:space="0" w:color="auto"/>
          </w:divBdr>
          <w:divsChild>
            <w:div w:id="1788234196">
              <w:marLeft w:val="0"/>
              <w:marRight w:val="0"/>
              <w:marTop w:val="0"/>
              <w:marBottom w:val="0"/>
              <w:divBdr>
                <w:top w:val="none" w:sz="0" w:space="0" w:color="auto"/>
                <w:left w:val="none" w:sz="0" w:space="0" w:color="auto"/>
                <w:bottom w:val="none" w:sz="0" w:space="0" w:color="auto"/>
                <w:right w:val="none" w:sz="0" w:space="0" w:color="auto"/>
              </w:divBdr>
            </w:div>
          </w:divsChild>
        </w:div>
        <w:div w:id="2121100237">
          <w:marLeft w:val="0"/>
          <w:marRight w:val="0"/>
          <w:marTop w:val="0"/>
          <w:marBottom w:val="0"/>
          <w:divBdr>
            <w:top w:val="none" w:sz="0" w:space="0" w:color="auto"/>
            <w:left w:val="none" w:sz="0" w:space="0" w:color="auto"/>
            <w:bottom w:val="none" w:sz="0" w:space="0" w:color="auto"/>
            <w:right w:val="none" w:sz="0" w:space="0" w:color="auto"/>
          </w:divBdr>
          <w:divsChild>
            <w:div w:id="63598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49339">
      <w:bodyDiv w:val="1"/>
      <w:marLeft w:val="0"/>
      <w:marRight w:val="0"/>
      <w:marTop w:val="0"/>
      <w:marBottom w:val="0"/>
      <w:divBdr>
        <w:top w:val="none" w:sz="0" w:space="0" w:color="auto"/>
        <w:left w:val="none" w:sz="0" w:space="0" w:color="auto"/>
        <w:bottom w:val="none" w:sz="0" w:space="0" w:color="auto"/>
        <w:right w:val="none" w:sz="0" w:space="0" w:color="auto"/>
      </w:divBdr>
    </w:div>
    <w:div w:id="1679195763">
      <w:bodyDiv w:val="1"/>
      <w:marLeft w:val="0"/>
      <w:marRight w:val="0"/>
      <w:marTop w:val="0"/>
      <w:marBottom w:val="0"/>
      <w:divBdr>
        <w:top w:val="none" w:sz="0" w:space="0" w:color="auto"/>
        <w:left w:val="none" w:sz="0" w:space="0" w:color="auto"/>
        <w:bottom w:val="none" w:sz="0" w:space="0" w:color="auto"/>
        <w:right w:val="none" w:sz="0" w:space="0" w:color="auto"/>
      </w:divBdr>
    </w:div>
    <w:div w:id="1698774727">
      <w:bodyDiv w:val="1"/>
      <w:marLeft w:val="0"/>
      <w:marRight w:val="0"/>
      <w:marTop w:val="0"/>
      <w:marBottom w:val="0"/>
      <w:divBdr>
        <w:top w:val="none" w:sz="0" w:space="0" w:color="auto"/>
        <w:left w:val="none" w:sz="0" w:space="0" w:color="auto"/>
        <w:bottom w:val="none" w:sz="0" w:space="0" w:color="auto"/>
        <w:right w:val="none" w:sz="0" w:space="0" w:color="auto"/>
      </w:divBdr>
      <w:divsChild>
        <w:div w:id="1687831719">
          <w:marLeft w:val="0"/>
          <w:marRight w:val="0"/>
          <w:marTop w:val="0"/>
          <w:marBottom w:val="0"/>
          <w:divBdr>
            <w:top w:val="none" w:sz="0" w:space="0" w:color="auto"/>
            <w:left w:val="none" w:sz="0" w:space="0" w:color="auto"/>
            <w:bottom w:val="none" w:sz="0" w:space="0" w:color="auto"/>
            <w:right w:val="none" w:sz="0" w:space="0" w:color="auto"/>
          </w:divBdr>
        </w:div>
      </w:divsChild>
    </w:div>
    <w:div w:id="1718776063">
      <w:bodyDiv w:val="1"/>
      <w:marLeft w:val="0"/>
      <w:marRight w:val="0"/>
      <w:marTop w:val="0"/>
      <w:marBottom w:val="0"/>
      <w:divBdr>
        <w:top w:val="none" w:sz="0" w:space="0" w:color="auto"/>
        <w:left w:val="none" w:sz="0" w:space="0" w:color="auto"/>
        <w:bottom w:val="none" w:sz="0" w:space="0" w:color="auto"/>
        <w:right w:val="none" w:sz="0" w:space="0" w:color="auto"/>
      </w:divBdr>
    </w:div>
    <w:div w:id="1894657580">
      <w:bodyDiv w:val="1"/>
      <w:marLeft w:val="0"/>
      <w:marRight w:val="0"/>
      <w:marTop w:val="0"/>
      <w:marBottom w:val="0"/>
      <w:divBdr>
        <w:top w:val="none" w:sz="0" w:space="0" w:color="auto"/>
        <w:left w:val="none" w:sz="0" w:space="0" w:color="auto"/>
        <w:bottom w:val="none" w:sz="0" w:space="0" w:color="auto"/>
        <w:right w:val="none" w:sz="0" w:space="0" w:color="auto"/>
      </w:divBdr>
    </w:div>
    <w:div w:id="2082214743">
      <w:bodyDiv w:val="1"/>
      <w:marLeft w:val="0"/>
      <w:marRight w:val="0"/>
      <w:marTop w:val="0"/>
      <w:marBottom w:val="0"/>
      <w:divBdr>
        <w:top w:val="none" w:sz="0" w:space="0" w:color="auto"/>
        <w:left w:val="none" w:sz="0" w:space="0" w:color="auto"/>
        <w:bottom w:val="none" w:sz="0" w:space="0" w:color="auto"/>
        <w:right w:val="none" w:sz="0" w:space="0" w:color="auto"/>
      </w:divBdr>
    </w:div>
    <w:div w:id="2113475865">
      <w:bodyDiv w:val="1"/>
      <w:marLeft w:val="0"/>
      <w:marRight w:val="0"/>
      <w:marTop w:val="0"/>
      <w:marBottom w:val="0"/>
      <w:divBdr>
        <w:top w:val="none" w:sz="0" w:space="0" w:color="auto"/>
        <w:left w:val="none" w:sz="0" w:space="0" w:color="auto"/>
        <w:bottom w:val="none" w:sz="0" w:space="0" w:color="auto"/>
        <w:right w:val="none" w:sz="0" w:space="0" w:color="auto"/>
      </w:divBdr>
      <w:divsChild>
        <w:div w:id="142148938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6.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13" Type="http://schemas.openxmlformats.org/officeDocument/2006/relationships/hyperlink" Target="https://www.in.gov/publicdefender/files/ABAGideonsBrokenPromise.pdf" TargetMode="External"/><Relationship Id="rId18" Type="http://schemas.openxmlformats.org/officeDocument/2006/relationships/hyperlink" Target="https://sixthamendment.org/know-your-state/colorado/" TargetMode="External"/><Relationship Id="rId26" Type="http://schemas.openxmlformats.org/officeDocument/2006/relationships/hyperlink" Target="https://vpm.org/news/articles/11229/bill-to-increase-pay-parity-among-va-prosecutors-and-public-defenders-dies-but" TargetMode="External"/><Relationship Id="rId21" Type="http://schemas.openxmlformats.org/officeDocument/2006/relationships/hyperlink" Target="https://sixthamendment.org/know-your-state/oregon/" TargetMode="External"/><Relationship Id="rId34" Type="http://schemas.openxmlformats.org/officeDocument/2006/relationships/hyperlink" Target="https://www.bjs.gov/content/pub/pdf/spdp07.pdf" TargetMode="External"/><Relationship Id="rId7" Type="http://schemas.openxmlformats.org/officeDocument/2006/relationships/hyperlink" Target="https://www.publicdefenders.us/stateofpurpose" TargetMode="External"/><Relationship Id="rId12" Type="http://schemas.openxmlformats.org/officeDocument/2006/relationships/hyperlink" Target="https://www.montcopa.org/DocumentCenter/View/26034/Proposed-2020-Budget" TargetMode="External"/><Relationship Id="rId17" Type="http://schemas.openxmlformats.org/officeDocument/2006/relationships/hyperlink" Target="https://sixthamendment.org/know-your-state/massachusetts/" TargetMode="External"/><Relationship Id="rId25" Type="http://schemas.openxmlformats.org/officeDocument/2006/relationships/hyperlink" Target="https://theappeal.org/the-high-costs-of-low-pay-for-public-defenders" TargetMode="External"/><Relationship Id="rId33" Type="http://schemas.openxmlformats.org/officeDocument/2006/relationships/hyperlink" Target="https://www.nacdl.org/getattachment/20b7a219-b631-48b7-b34a-2d1cb758bdb4/minor-crimes-massive-waste-the-terrible-toll-of-america-s-broken-misdemeanor-courts.pdf" TargetMode="External"/><Relationship Id="rId2" Type="http://schemas.openxmlformats.org/officeDocument/2006/relationships/hyperlink" Target="https://constitution.congress.gov/browse/essay/amdt6_7_2_3/" TargetMode="External"/><Relationship Id="rId16" Type="http://schemas.openxmlformats.org/officeDocument/2006/relationships/hyperlink" Target="http://www.lopdnm.us/aboutus/" TargetMode="External"/><Relationship Id="rId20" Type="http://schemas.openxmlformats.org/officeDocument/2006/relationships/hyperlink" Target="https://sixthamendment.org/know-your-state/arizona/" TargetMode="External"/><Relationship Id="rId29" Type="http://schemas.openxmlformats.org/officeDocument/2006/relationships/hyperlink" Target="https://sixthamendment.org/know-your-state/new-jersey/" TargetMode="External"/><Relationship Id="rId1" Type="http://schemas.openxmlformats.org/officeDocument/2006/relationships/hyperlink" Target="https://constitution.congress.gov/browse/essay/amdt6_7_2_3/" TargetMode="External"/><Relationship Id="rId6" Type="http://schemas.openxmlformats.org/officeDocument/2006/relationships/hyperlink" Target="https://www.americanbar.org/content/dam/aba/administrative/legal_aid_indigent_defendants/ls_sclaid_def_tenprinciplesbooklet.pdf" TargetMode="External"/><Relationship Id="rId11" Type="http://schemas.openxmlformats.org/officeDocument/2006/relationships/hyperlink" Target="https://www.census.gov/quickfacts/montgomerycountypennsylvania" TargetMode="External"/><Relationship Id="rId24" Type="http://schemas.openxmlformats.org/officeDocument/2006/relationships/hyperlink" Target="https://michiganidc.gov/wp-content/uploads/2015/04/Delivery-System-Reform-Models-Final-Dec-2016.pdf" TargetMode="External"/><Relationship Id="rId32" Type="http://schemas.openxmlformats.org/officeDocument/2006/relationships/hyperlink" Target="https://www.nacdl.org/Content/PublicDefenseTrainingPrograms" TargetMode="External"/><Relationship Id="rId37" Type="http://schemas.openxmlformats.org/officeDocument/2006/relationships/hyperlink" Target="https://www.montcopa.org/94/Boards-Commissions" TargetMode="External"/><Relationship Id="rId5" Type="http://schemas.openxmlformats.org/officeDocument/2006/relationships/hyperlink" Target="https://www.americanbar.org/groups/professional_responsibility/publications/model_rules_of_professional_conduct/" TargetMode="External"/><Relationship Id="rId15" Type="http://schemas.openxmlformats.org/officeDocument/2006/relationships/hyperlink" Target="https://docs.google.com/document/d/1TqHTaDKIQ0ELBcRqFaJDUhtkoYPbKQXjDHpcibcD5l0/edit" TargetMode="External"/><Relationship Id="rId23" Type="http://schemas.openxmlformats.org/officeDocument/2006/relationships/hyperlink" Target="https://leg.mt.gov/content/Committees/Interim/2015-2016/Public-Defender/Committee-Topics/assessment-in-montana.pdf" TargetMode="External"/><Relationship Id="rId28" Type="http://schemas.openxmlformats.org/officeDocument/2006/relationships/hyperlink" Target="https://thelensnola.org/2020/08/20/city-council-passes-ordinance-bringing-public-defender-budget-closer-to-das-office/" TargetMode="External"/><Relationship Id="rId36" Type="http://schemas.openxmlformats.org/officeDocument/2006/relationships/hyperlink" Target="https://sixthamendment.org/know-your-state/texas/" TargetMode="External"/><Relationship Id="rId10" Type="http://schemas.openxmlformats.org/officeDocument/2006/relationships/hyperlink" Target="https://www.montcopa.org/DocumentCenter/View/2381/Ethics_Draft_FINAL?bidId=" TargetMode="External"/><Relationship Id="rId19" Type="http://schemas.openxmlformats.org/officeDocument/2006/relationships/hyperlink" Target="https://sixthamendment.org/know-your-state/texas/" TargetMode="External"/><Relationship Id="rId31" Type="http://schemas.openxmlformats.org/officeDocument/2006/relationships/hyperlink" Target="https://www.minnesotalawreview.org/wp-content/uploads/2016/06/Primus_Online.pdf" TargetMode="External"/><Relationship Id="rId4" Type="http://schemas.openxmlformats.org/officeDocument/2006/relationships/hyperlink" Target="https://www.publicdefenders.us/files/NAPD_Call%20to%20Action%20re%20Policy%20Statement%20on%20Independence.pdf" TargetMode="External"/><Relationship Id="rId9" Type="http://schemas.openxmlformats.org/officeDocument/2006/relationships/hyperlink" Target="https://www.publicdefenders.us/files/NAPD%20Foundational%20Principles_FINAL_March%2016%202017(1).pdf" TargetMode="External"/><Relationship Id="rId14" Type="http://schemas.openxmlformats.org/officeDocument/2006/relationships/hyperlink" Target="https://sixthamendment.org/the-right-to-counsel/national-standards-for-providing-the-right-to-counsel/understanding-judicial-interference-with-the-defense-function-aba-principle-1/" TargetMode="External"/><Relationship Id="rId22" Type="http://schemas.openxmlformats.org/officeDocument/2006/relationships/hyperlink" Target="https://sixthamendment.org/the-right-to-counsel/national-standards-for-providing-the-right-to-counsel/the-preeminent-need-for-independence-of-the-defense-function-aba-principle-1/" TargetMode="External"/><Relationship Id="rId27" Type="http://schemas.openxmlformats.org/officeDocument/2006/relationships/hyperlink" Target="https://brooklyneagle.com/articles/2019/06/14/citys-public-defenders-to-get-pay-parity-with-city-lawyers/" TargetMode="External"/><Relationship Id="rId30" Type="http://schemas.openxmlformats.org/officeDocument/2006/relationships/hyperlink" Target="https://michiganidc.gov/wp-content/uploads/2020/10/MIDC-Standards-November-2020-complete.pdf" TargetMode="External"/><Relationship Id="rId35" Type="http://schemas.openxmlformats.org/officeDocument/2006/relationships/hyperlink" Target="http://www.courts.state.ny.us/courts/ad1/Committees&amp;Programs/IndigentDefOrgOversightComm/general%20_requirements.pdf" TargetMode="External"/><Relationship Id="rId8" Type="http://schemas.openxmlformats.org/officeDocument/2006/relationships/hyperlink" Target="https://www.publicdefenders.us/stateofpurpose" TargetMode="External"/><Relationship Id="rId3" Type="http://schemas.openxmlformats.org/officeDocument/2006/relationships/hyperlink" Target="https://www.publicdefenders.us/files/NAPD_Policy%20Statement%20on%20Independenc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eps\AppData\Local\Temp\MONTCO%20County%20Report%20--%20Full%20+%20styles%20(sks%20011721).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i="1">
                <a:solidFill>
                  <a:srgbClr val="91211B"/>
                </a:solidFill>
                <a:latin typeface="Avenir Black Oblique" panose="02000503020000020003" pitchFamily="2" charset="0"/>
              </a:rPr>
              <a:t>Montgomery</a:t>
            </a:r>
            <a:r>
              <a:rPr lang="en-US" b="1" i="1" baseline="0">
                <a:solidFill>
                  <a:srgbClr val="91211B"/>
                </a:solidFill>
                <a:latin typeface="Avenir Black Oblique" panose="02000503020000020003" pitchFamily="2" charset="0"/>
              </a:rPr>
              <a:t> County Office of the Public Defender</a:t>
            </a:r>
          </a:p>
          <a:p>
            <a:pPr>
              <a:defRPr/>
            </a:pPr>
            <a:r>
              <a:rPr lang="en-US" sz="1200" b="1" i="1" baseline="0">
                <a:solidFill>
                  <a:schemeClr val="tx1"/>
                </a:solidFill>
                <a:latin typeface="Avenir Heavy Oblique" panose="02000503020000020003" pitchFamily="2" charset="0"/>
              </a:rPr>
              <a:t>Annual Budget (2012</a:t>
            </a:r>
            <a:r>
              <a:rPr lang="en-US" sz="1400" b="0" i="0" u="none" strike="noStrike" baseline="0">
                <a:effectLst/>
              </a:rPr>
              <a:t> – </a:t>
            </a:r>
            <a:r>
              <a:rPr lang="en-US" sz="1200" b="1" i="1" baseline="0">
                <a:solidFill>
                  <a:schemeClr val="tx1"/>
                </a:solidFill>
                <a:latin typeface="Avenir Heavy Oblique" panose="02000503020000020003" pitchFamily="2" charset="0"/>
              </a:rPr>
              <a:t>2021)</a:t>
            </a:r>
            <a:endParaRPr lang="en-US" sz="1200" b="1" i="1">
              <a:solidFill>
                <a:schemeClr val="tx1"/>
              </a:solidFill>
              <a:latin typeface="Avenir Heavy Oblique" panose="02000503020000020003" pitchFamily="2"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Annual Budget</c:v>
                </c:pt>
              </c:strCache>
            </c:strRef>
          </c:tx>
          <c:spPr>
            <a:solidFill>
              <a:srgbClr val="91211B"/>
            </a:solidFill>
            <a:ln>
              <a:noFill/>
            </a:ln>
            <a:effectLst/>
          </c:spPr>
          <c:invertIfNegative val="0"/>
          <c:cat>
            <c:strRef>
              <c:f>Sheet1!$A$2:$A$11</c:f>
              <c:strCache>
                <c:ptCount val="10"/>
                <c:pt idx="0">
                  <c:v>2012 ($3,232,600)</c:v>
                </c:pt>
                <c:pt idx="1">
                  <c:v>2013 ($3,763,587)</c:v>
                </c:pt>
                <c:pt idx="2">
                  <c:v>2014 ($4,035,708)</c:v>
                </c:pt>
                <c:pt idx="3">
                  <c:v>2015 ($4,203,572)</c:v>
                </c:pt>
                <c:pt idx="4">
                  <c:v>2016 ($4,532,732)</c:v>
                </c:pt>
                <c:pt idx="5">
                  <c:v>2017 ($4,765,892)</c:v>
                </c:pt>
                <c:pt idx="6">
                  <c:v>2018 ($4,821,996)</c:v>
                </c:pt>
                <c:pt idx="7">
                  <c:v>2019 ($5,734,679)</c:v>
                </c:pt>
                <c:pt idx="8">
                  <c:v>2020 ($5,816,907)</c:v>
                </c:pt>
                <c:pt idx="9">
                  <c:v>2021 ($6,527,981)</c:v>
                </c:pt>
              </c:strCache>
            </c:strRef>
          </c:cat>
          <c:val>
            <c:numRef>
              <c:f>Sheet1!$B$2:$B$11</c:f>
              <c:numCache>
                <c:formatCode>"$"#,##0_);[Red]\("$"#,##0\)</c:formatCode>
                <c:ptCount val="10"/>
                <c:pt idx="0">
                  <c:v>3232600</c:v>
                </c:pt>
                <c:pt idx="1">
                  <c:v>3763587</c:v>
                </c:pt>
                <c:pt idx="2">
                  <c:v>4035708</c:v>
                </c:pt>
                <c:pt idx="3">
                  <c:v>4203572</c:v>
                </c:pt>
                <c:pt idx="4">
                  <c:v>4532732</c:v>
                </c:pt>
                <c:pt idx="5">
                  <c:v>4765892</c:v>
                </c:pt>
                <c:pt idx="6">
                  <c:v>4821996</c:v>
                </c:pt>
                <c:pt idx="7">
                  <c:v>5734679</c:v>
                </c:pt>
                <c:pt idx="8">
                  <c:v>5816907</c:v>
                </c:pt>
                <c:pt idx="9">
                  <c:v>6527981</c:v>
                </c:pt>
              </c:numCache>
            </c:numRef>
          </c:val>
          <c:extLst>
            <c:ext xmlns:c16="http://schemas.microsoft.com/office/drawing/2014/chart" uri="{C3380CC4-5D6E-409C-BE32-E72D297353CC}">
              <c16:uniqueId val="{00000000-F5D9-B84E-8295-FCC925954FB9}"/>
            </c:ext>
          </c:extLst>
        </c:ser>
        <c:dLbls>
          <c:showLegendKey val="0"/>
          <c:showVal val="0"/>
          <c:showCatName val="0"/>
          <c:showSerName val="0"/>
          <c:showPercent val="0"/>
          <c:showBubbleSize val="0"/>
        </c:dLbls>
        <c:gapWidth val="219"/>
        <c:overlap val="-27"/>
        <c:axId val="476225200"/>
        <c:axId val="476218896"/>
      </c:barChart>
      <c:catAx>
        <c:axId val="47622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800" b="0" i="0" u="none" strike="noStrike" kern="1200" baseline="0">
                <a:solidFill>
                  <a:schemeClr val="tx1"/>
                </a:solidFill>
                <a:latin typeface="Avenir Black Oblique" panose="02000503020000020003" pitchFamily="2" charset="0"/>
                <a:ea typeface="+mn-ea"/>
                <a:cs typeface="+mn-cs"/>
              </a:defRPr>
            </a:pPr>
            <a:endParaRPr lang="en-US"/>
          </a:p>
        </c:txPr>
        <c:crossAx val="476218896"/>
        <c:crosses val="autoZero"/>
        <c:auto val="1"/>
        <c:lblAlgn val="ctr"/>
        <c:lblOffset val="100"/>
        <c:noMultiLvlLbl val="0"/>
      </c:catAx>
      <c:valAx>
        <c:axId val="476218896"/>
        <c:scaling>
          <c:orientation val="minMax"/>
        </c:scaling>
        <c:delete val="1"/>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crossAx val="4762252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8100" cap="flat" cmpd="sng" algn="ctr">
      <a:solidFill>
        <a:schemeClr val="tx1">
          <a:lumMod val="85000"/>
          <a:lumOff val="1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IsszfPGml74ZtjDcSeAgZiS5GQ==">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</go:docsCustomData>
</go:gDocsCustomXmlDataStorage>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B4888AC-6B55-1E42-BA33-F77112B48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C:\Users\jmeps\AppData\Local\Temp\MONTCO County Report -- Full + styles (sks 011721).dotx</Template>
  <TotalTime>0</TotalTime>
  <Pages>104</Pages>
  <Words>24589</Words>
  <Characters>140163</Characters>
  <Application>Microsoft Office Word</Application>
  <DocSecurity>0</DocSecurity>
  <Lines>1168</Lines>
  <Paragraphs>328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164424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2021-02-01T05:36:00Z</cp:lastPrinted>
  <dcterms:created xsi:type="dcterms:W3CDTF">2021-02-04T22:56:00Z</dcterms:created>
  <dcterms:modified xsi:type="dcterms:W3CDTF">2021-02-05T19:26:00Z</dcterms:modified>
  <cp:category/>
</cp:coreProperties>
</file>